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67364D">
      <w:pPr>
        <w:wordWrap w:val="0"/>
        <w:jc w:val="right"/>
        <w:rPr>
          <w:rFonts w:hint="eastAsia" w:ascii="宋体" w:hAnsi="宋体"/>
          <w:sz w:val="44"/>
          <w:szCs w:val="44"/>
        </w:rPr>
      </w:pPr>
      <w:r>
        <w:rPr>
          <w:rFonts w:hint="eastAsia" w:ascii="宋体" w:hAnsi="宋体"/>
          <w:sz w:val="24"/>
        </w:rPr>
        <w:t xml:space="preserve"> </w:t>
      </w:r>
    </w:p>
    <w:p w14:paraId="0D9AFD3F">
      <w:pPr>
        <w:jc w:val="center"/>
        <w:rPr>
          <w:rFonts w:hint="eastAsia" w:ascii="宋体" w:hAnsi="宋体"/>
          <w:sz w:val="36"/>
          <w:szCs w:val="36"/>
        </w:rPr>
      </w:pPr>
      <w:r>
        <w:rPr>
          <w:rFonts w:hint="eastAsia" w:ascii="宋体" w:hAnsi="宋体"/>
          <w:sz w:val="36"/>
          <w:szCs w:val="36"/>
        </w:rPr>
        <w:t xml:space="preserve"> </w:t>
      </w:r>
    </w:p>
    <w:p w14:paraId="0DF20220"/>
    <w:p w14:paraId="3C7AF52C">
      <w:pPr>
        <w:widowControl/>
        <w:autoSpaceDE w:val="0"/>
        <w:autoSpaceDN w:val="0"/>
        <w:adjustRightInd w:val="0"/>
        <w:ind w:firstLine="560"/>
        <w:jc w:val="center"/>
        <w:rPr>
          <w:rFonts w:hint="eastAsia" w:ascii="宋体" w:hAnsi="宋体"/>
          <w:b/>
          <w:sz w:val="52"/>
          <w:szCs w:val="52"/>
        </w:rPr>
      </w:pPr>
      <w:r>
        <w:rPr>
          <w:rFonts w:hint="eastAsia" w:ascii="宋体" w:hAnsi="宋体"/>
          <w:b/>
          <w:sz w:val="52"/>
          <w:szCs w:val="52"/>
        </w:rPr>
        <w:t>深圳市龙华建设发展集团有限公司</w:t>
      </w:r>
    </w:p>
    <w:p w14:paraId="28DFA84C">
      <w:pPr>
        <w:jc w:val="center"/>
        <w:rPr>
          <w:rFonts w:hint="default" w:ascii="宋体" w:hAnsi="宋体" w:eastAsia="宋体"/>
          <w:b/>
          <w:bCs/>
          <w:sz w:val="52"/>
          <w:szCs w:val="52"/>
          <w:lang w:val="en-US" w:eastAsia="zh-CN"/>
        </w:rPr>
      </w:pPr>
      <w:r>
        <w:rPr>
          <w:rFonts w:hint="eastAsia" w:ascii="宋体" w:hAnsi="宋体"/>
          <w:b/>
          <w:sz w:val="52"/>
          <w:szCs w:val="52"/>
          <w:lang w:val="en-US" w:eastAsia="zh-CN"/>
        </w:rPr>
        <w:t>财务顾问合同</w:t>
      </w:r>
    </w:p>
    <w:p w14:paraId="27482801">
      <w:pPr>
        <w:wordWrap w:val="0"/>
        <w:ind w:right="420" w:firstLine="3200" w:firstLineChars="1000"/>
        <w:rPr>
          <w:rFonts w:hint="eastAsia" w:ascii="宋体" w:hAnsi="宋体"/>
          <w:bCs/>
        </w:rPr>
      </w:pPr>
      <w:r>
        <w:rPr>
          <w:rFonts w:hint="eastAsia" w:ascii="方正小标宋简体" w:hAnsi="方正小标宋简体" w:eastAsia="方正小标宋简体" w:cs="方正小标宋简体"/>
          <w:sz w:val="32"/>
          <w:szCs w:val="32"/>
        </w:rPr>
        <w:t>合同编号：</w:t>
      </w:r>
    </w:p>
    <w:p w14:paraId="16337147">
      <w:pPr>
        <w:spacing w:line="480" w:lineRule="auto"/>
        <w:rPr>
          <w:rFonts w:hint="eastAsia" w:ascii="宋体" w:hAnsi="宋体"/>
          <w:bCs/>
        </w:rPr>
      </w:pPr>
    </w:p>
    <w:p w14:paraId="4E8D6C23">
      <w:pPr>
        <w:spacing w:line="480" w:lineRule="auto"/>
        <w:rPr>
          <w:rFonts w:hint="eastAsia" w:ascii="宋体" w:hAnsi="宋体"/>
          <w:bCs/>
        </w:rPr>
      </w:pPr>
    </w:p>
    <w:p w14:paraId="227A4F29">
      <w:pPr>
        <w:spacing w:line="480" w:lineRule="auto"/>
        <w:rPr>
          <w:rFonts w:hint="eastAsia" w:ascii="宋体" w:hAnsi="宋体"/>
          <w:bCs/>
        </w:rPr>
      </w:pPr>
    </w:p>
    <w:p w14:paraId="493BA692">
      <w:pPr>
        <w:spacing w:line="480" w:lineRule="auto"/>
        <w:rPr>
          <w:rFonts w:hint="eastAsia" w:ascii="宋体" w:hAnsi="宋体"/>
          <w:bCs/>
        </w:rPr>
      </w:pPr>
    </w:p>
    <w:p w14:paraId="1071FE3E">
      <w:pPr>
        <w:spacing w:line="480" w:lineRule="auto"/>
        <w:rPr>
          <w:rFonts w:hint="eastAsia" w:ascii="宋体" w:hAnsi="宋体"/>
          <w:bCs/>
        </w:rPr>
      </w:pPr>
    </w:p>
    <w:p w14:paraId="003343C7">
      <w:pPr>
        <w:spacing w:line="480" w:lineRule="auto"/>
        <w:rPr>
          <w:rFonts w:hint="eastAsia" w:ascii="宋体" w:hAnsi="宋体"/>
          <w:bCs/>
        </w:rPr>
      </w:pPr>
    </w:p>
    <w:p w14:paraId="49BBE60F"/>
    <w:p w14:paraId="4875B334"/>
    <w:p w14:paraId="6668AD60"/>
    <w:tbl>
      <w:tblPr>
        <w:tblStyle w:val="5"/>
        <w:tblW w:w="7371" w:type="dxa"/>
        <w:tblInd w:w="1101" w:type="dxa"/>
        <w:tblLayout w:type="fixed"/>
        <w:tblCellMar>
          <w:top w:w="0" w:type="dxa"/>
          <w:left w:w="108" w:type="dxa"/>
          <w:bottom w:w="0" w:type="dxa"/>
          <w:right w:w="108" w:type="dxa"/>
        </w:tblCellMar>
      </w:tblPr>
      <w:tblGrid>
        <w:gridCol w:w="7371"/>
      </w:tblGrid>
      <w:tr w14:paraId="341292B7">
        <w:tblPrEx>
          <w:tblCellMar>
            <w:top w:w="0" w:type="dxa"/>
            <w:left w:w="108" w:type="dxa"/>
            <w:bottom w:w="0" w:type="dxa"/>
            <w:right w:w="108" w:type="dxa"/>
          </w:tblCellMar>
        </w:tblPrEx>
        <w:trPr>
          <w:trHeight w:val="1206" w:hRule="atLeast"/>
        </w:trPr>
        <w:tc>
          <w:tcPr>
            <w:tcW w:w="7371" w:type="dxa"/>
          </w:tcPr>
          <w:p w14:paraId="58D033C2">
            <w:pPr>
              <w:rPr>
                <w:rFonts w:hint="eastAsia" w:ascii="宋体" w:hAnsi="宋体"/>
                <w:bCs/>
                <w:sz w:val="24"/>
              </w:rPr>
            </w:pPr>
          </w:p>
          <w:p w14:paraId="465E8B4B">
            <w:pPr>
              <w:rPr>
                <w:rFonts w:hint="eastAsia" w:ascii="宋体" w:hAnsi="宋体"/>
                <w:b/>
                <w:bCs/>
                <w:sz w:val="24"/>
              </w:rPr>
            </w:pPr>
            <w:r>
              <w:rPr>
                <w:rFonts w:hint="eastAsia" w:ascii="宋体" w:hAnsi="宋体"/>
                <w:b/>
                <w:bCs/>
                <w:sz w:val="24"/>
              </w:rPr>
              <w:t>委托方（甲方）：深圳市龙华建设发展集团有限公司</w:t>
            </w:r>
          </w:p>
        </w:tc>
      </w:tr>
      <w:tr w14:paraId="72502AB9">
        <w:tblPrEx>
          <w:tblCellMar>
            <w:top w:w="0" w:type="dxa"/>
            <w:left w:w="108" w:type="dxa"/>
            <w:bottom w:w="0" w:type="dxa"/>
            <w:right w:w="108" w:type="dxa"/>
          </w:tblCellMar>
        </w:tblPrEx>
        <w:trPr>
          <w:trHeight w:val="1361" w:hRule="atLeast"/>
        </w:trPr>
        <w:tc>
          <w:tcPr>
            <w:tcW w:w="7371" w:type="dxa"/>
          </w:tcPr>
          <w:p w14:paraId="4793417C">
            <w:pPr>
              <w:rPr>
                <w:rFonts w:hint="eastAsia" w:ascii="宋体" w:hAnsi="宋体"/>
                <w:b/>
                <w:bCs/>
                <w:sz w:val="24"/>
              </w:rPr>
            </w:pPr>
            <w:r>
              <w:rPr>
                <w:rFonts w:hint="eastAsia" w:ascii="宋体" w:hAnsi="宋体"/>
                <w:b/>
                <w:bCs/>
                <w:sz w:val="24"/>
              </w:rPr>
              <w:t>受托方（乙方）：</w:t>
            </w:r>
          </w:p>
          <w:p w14:paraId="77440510">
            <w:pPr>
              <w:rPr>
                <w:rFonts w:ascii="仿宋_GB2312" w:eastAsia="仿宋_GB2312"/>
                <w:sz w:val="24"/>
              </w:rPr>
            </w:pPr>
          </w:p>
          <w:p w14:paraId="3E5231E0">
            <w:pPr>
              <w:spacing w:line="360" w:lineRule="auto"/>
              <w:rPr>
                <w:rFonts w:ascii="Arial Narrow" w:hAnsi="Arial Narrow" w:eastAsia="仿宋_GB2312"/>
              </w:rPr>
            </w:pPr>
          </w:p>
        </w:tc>
      </w:tr>
    </w:tbl>
    <w:p w14:paraId="0883FEEF">
      <w:pPr>
        <w:widowControl/>
        <w:autoSpaceDE w:val="0"/>
        <w:autoSpaceDN w:val="0"/>
        <w:adjustRightInd w:val="0"/>
        <w:ind w:firstLine="560"/>
        <w:jc w:val="center"/>
        <w:rPr>
          <w:rFonts w:hint="eastAsia" w:ascii="宋体" w:hAnsi="宋体"/>
          <w:b/>
          <w:sz w:val="36"/>
          <w:szCs w:val="36"/>
        </w:rPr>
      </w:pPr>
      <w:r>
        <w:rPr>
          <w:rFonts w:ascii="宋体" w:hAnsi="宋体" w:cs="仿宋_GB2312"/>
          <w:kern w:val="0"/>
          <w:sz w:val="44"/>
          <w:szCs w:val="44"/>
        </w:rPr>
        <w:br w:type="page"/>
      </w:r>
      <w:r>
        <w:rPr>
          <w:rFonts w:hint="eastAsia" w:ascii="宋体" w:hAnsi="宋体" w:eastAsia="宋体" w:cs="Times New Roman"/>
          <w:b/>
          <w:sz w:val="36"/>
          <w:szCs w:val="36"/>
        </w:rPr>
        <w:t>深圳市龙华建设发展集团有限公司</w:t>
      </w:r>
      <w:r>
        <w:rPr>
          <w:rFonts w:hint="eastAsia" w:ascii="宋体" w:hAnsi="宋体" w:eastAsia="宋体" w:cs="Times New Roman"/>
          <w:b/>
          <w:sz w:val="36"/>
          <w:szCs w:val="36"/>
          <w:lang w:val="en-US" w:eastAsia="zh-CN"/>
        </w:rPr>
        <w:t>财务顾问合同</w:t>
      </w:r>
    </w:p>
    <w:p w14:paraId="4AD7D6E3">
      <w:pPr>
        <w:wordWrap w:val="0"/>
        <w:spacing w:line="380" w:lineRule="exact"/>
        <w:ind w:firstLine="420" w:firstLineChars="200"/>
        <w:jc w:val="right"/>
        <w:rPr>
          <w:szCs w:val="21"/>
        </w:rPr>
      </w:pPr>
      <w:r>
        <w:rPr>
          <w:rFonts w:hint="eastAsia"/>
          <w:szCs w:val="21"/>
        </w:rPr>
        <w:t xml:space="preserve">         </w:t>
      </w:r>
      <w:r>
        <w:rPr>
          <w:rFonts w:hint="eastAsia"/>
          <w:sz w:val="24"/>
        </w:rPr>
        <w:t xml:space="preserve">  </w:t>
      </w:r>
    </w:p>
    <w:p w14:paraId="555BA7EB">
      <w:pPr>
        <w:spacing w:line="480" w:lineRule="exact"/>
      </w:pPr>
    </w:p>
    <w:p w14:paraId="3845B9F7">
      <w:pPr>
        <w:spacing w:line="360" w:lineRule="auto"/>
        <w:rPr>
          <w:rFonts w:ascii="Arial" w:hAnsi="Arial" w:cs="Arial"/>
          <w:color w:val="262626"/>
          <w:kern w:val="0"/>
          <w:sz w:val="24"/>
          <w:szCs w:val="24"/>
        </w:rPr>
      </w:pPr>
      <w:r>
        <w:rPr>
          <w:rFonts w:hint="eastAsia" w:ascii="Arial" w:hAnsi="Arial" w:cs="Arial"/>
          <w:color w:val="262626"/>
          <w:kern w:val="0"/>
          <w:sz w:val="24"/>
          <w:szCs w:val="24"/>
        </w:rPr>
        <w:t>委托方（甲方）：</w:t>
      </w:r>
      <w:r>
        <w:rPr>
          <w:rFonts w:hint="eastAsia" w:ascii="Arial" w:hAnsi="Arial" w:cs="Arial"/>
          <w:color w:val="262626"/>
          <w:kern w:val="0"/>
          <w:sz w:val="24"/>
          <w:szCs w:val="24"/>
          <w:u w:val="single"/>
        </w:rPr>
        <w:t>深圳市龙华建设发展集团有限公司</w:t>
      </w:r>
      <w:r>
        <w:rPr>
          <w:rFonts w:ascii="Arial" w:hAnsi="Arial" w:cs="Arial"/>
          <w:color w:val="262626"/>
          <w:kern w:val="0"/>
          <w:sz w:val="24"/>
          <w:szCs w:val="24"/>
          <w:u w:val="single"/>
        </w:rPr>
        <w:t xml:space="preserve"> </w:t>
      </w:r>
    </w:p>
    <w:p w14:paraId="65FBF92B">
      <w:pPr>
        <w:spacing w:line="360" w:lineRule="auto"/>
        <w:rPr>
          <w:rFonts w:ascii="Arial" w:hAnsi="Arial" w:cs="Arial"/>
          <w:color w:val="262626"/>
          <w:kern w:val="0"/>
          <w:sz w:val="24"/>
          <w:szCs w:val="24"/>
        </w:rPr>
      </w:pPr>
      <w:r>
        <w:rPr>
          <w:rFonts w:hint="eastAsia" w:ascii="Arial" w:hAnsi="Arial" w:cs="Arial"/>
          <w:color w:val="262626"/>
          <w:kern w:val="0"/>
          <w:sz w:val="24"/>
          <w:szCs w:val="24"/>
        </w:rPr>
        <w:t>受托方（乙方）：</w:t>
      </w:r>
    </w:p>
    <w:p w14:paraId="0E92C88E">
      <w:pPr>
        <w:spacing w:line="480" w:lineRule="exact"/>
      </w:pPr>
    </w:p>
    <w:p w14:paraId="3024B293">
      <w:pPr>
        <w:spacing w:line="360" w:lineRule="auto"/>
        <w:ind w:firstLine="480" w:firstLineChars="200"/>
        <w:rPr>
          <w:rFonts w:hint="eastAsia" w:ascii="宋体" w:hAnsi="宋体"/>
          <w:sz w:val="24"/>
          <w:szCs w:val="24"/>
        </w:rPr>
      </w:pPr>
      <w:r>
        <w:rPr>
          <w:rFonts w:hint="eastAsia" w:ascii="宋体" w:hAnsi="宋体"/>
          <w:sz w:val="24"/>
          <w:szCs w:val="24"/>
        </w:rPr>
        <w:t>甲乙双方在“平等自愿、诚实守信、互惠互利、长期合作”的原则基础上，友好协商，达成以下协议。</w:t>
      </w:r>
    </w:p>
    <w:p w14:paraId="0AE373B8">
      <w:pPr>
        <w:spacing w:before="312" w:beforeLines="100" w:line="360" w:lineRule="auto"/>
        <w:rPr>
          <w:rFonts w:hint="eastAsia" w:ascii="宋体" w:hAnsi="宋体"/>
          <w:b/>
          <w:sz w:val="24"/>
          <w:szCs w:val="24"/>
        </w:rPr>
      </w:pPr>
      <w:r>
        <w:rPr>
          <w:rFonts w:hint="eastAsia" w:ascii="宋体" w:hAnsi="宋体"/>
          <w:sz w:val="24"/>
          <w:szCs w:val="24"/>
        </w:rPr>
        <w:t>　</w:t>
      </w:r>
      <w:r>
        <w:rPr>
          <w:rFonts w:hint="eastAsia" w:ascii="宋体" w:hAnsi="宋体"/>
          <w:b/>
          <w:sz w:val="24"/>
          <w:szCs w:val="24"/>
        </w:rPr>
        <w:t>　一、目的、内容、方式和费用</w:t>
      </w:r>
    </w:p>
    <w:p w14:paraId="52DB03CE">
      <w:pPr>
        <w:spacing w:line="360" w:lineRule="auto"/>
        <w:rPr>
          <w:rFonts w:hint="eastAsia" w:ascii="宋体" w:hAnsi="宋体" w:eastAsia="宋体" w:cs="Times New Roman"/>
          <w:sz w:val="24"/>
          <w:szCs w:val="24"/>
        </w:rPr>
      </w:pPr>
      <w:r>
        <w:rPr>
          <w:rFonts w:hint="eastAsia" w:ascii="宋体" w:hAnsi="宋体"/>
          <w:sz w:val="24"/>
          <w:szCs w:val="24"/>
        </w:rPr>
        <w:t>　　乙方根据甲方需要，并利用自身专业优势，对甲方的重大项目财务承载能力进行分析，并出具重大项目财务承载能力分析报告。</w:t>
      </w:r>
      <w:r>
        <w:rPr>
          <w:rFonts w:hint="default" w:ascii="宋体" w:hAnsi="宋体" w:eastAsia="宋体" w:cs="Times New Roman"/>
          <w:sz w:val="24"/>
          <w:szCs w:val="24"/>
          <w:lang w:val="en-US" w:eastAsia="zh-CN"/>
        </w:rPr>
        <w:t>参与设计融资方案、评估新项目或并购标的的财务可行性、财务风险识别等</w:t>
      </w:r>
      <w:r>
        <w:rPr>
          <w:rFonts w:hint="eastAsia" w:ascii="宋体" w:hAnsi="宋体" w:eastAsia="宋体" w:cs="Times New Roman"/>
          <w:sz w:val="24"/>
          <w:szCs w:val="24"/>
          <w:lang w:val="en-US" w:eastAsia="zh-CN"/>
        </w:rPr>
        <w:t>。</w:t>
      </w:r>
    </w:p>
    <w:p w14:paraId="372DC4E3">
      <w:pPr>
        <w:spacing w:before="156" w:beforeLines="50" w:line="360" w:lineRule="auto"/>
        <w:ind w:firstLine="420"/>
        <w:rPr>
          <w:rFonts w:hint="eastAsia" w:ascii="宋体" w:hAnsi="宋体"/>
          <w:b/>
          <w:sz w:val="24"/>
          <w:szCs w:val="24"/>
        </w:rPr>
      </w:pPr>
      <w:r>
        <w:rPr>
          <w:rFonts w:ascii="宋体" w:hAnsi="宋体"/>
          <w:b/>
          <w:sz w:val="24"/>
          <w:szCs w:val="24"/>
        </w:rPr>
        <w:t>（</w:t>
      </w:r>
      <w:r>
        <w:rPr>
          <w:rFonts w:hint="eastAsia" w:ascii="宋体" w:hAnsi="宋体"/>
          <w:b/>
          <w:sz w:val="24"/>
          <w:szCs w:val="24"/>
        </w:rPr>
        <w:t>一</w:t>
      </w:r>
      <w:r>
        <w:rPr>
          <w:rFonts w:ascii="宋体" w:hAnsi="宋体"/>
          <w:b/>
          <w:sz w:val="24"/>
          <w:szCs w:val="24"/>
        </w:rPr>
        <w:t>）</w:t>
      </w:r>
      <w:r>
        <w:rPr>
          <w:rFonts w:hint="eastAsia" w:ascii="宋体" w:hAnsi="宋体"/>
          <w:b/>
          <w:sz w:val="24"/>
          <w:szCs w:val="24"/>
        </w:rPr>
        <w:t>服务内容</w:t>
      </w:r>
    </w:p>
    <w:p w14:paraId="2CEDC358">
      <w:pPr>
        <w:spacing w:line="360" w:lineRule="auto"/>
        <w:rPr>
          <w:rFonts w:hint="eastAsia" w:ascii="宋体" w:hAnsi="宋体"/>
          <w:sz w:val="24"/>
          <w:szCs w:val="24"/>
        </w:rPr>
      </w:pPr>
      <w:r>
        <w:rPr>
          <w:rFonts w:hint="eastAsia" w:ascii="宋体" w:hAnsi="宋体"/>
          <w:sz w:val="24"/>
          <w:szCs w:val="24"/>
        </w:rPr>
        <w:t>　　</w:t>
      </w:r>
      <w:r>
        <w:rPr>
          <w:rFonts w:hint="eastAsia" w:ascii="宋体" w:hAnsi="宋体"/>
          <w:sz w:val="24"/>
          <w:szCs w:val="24"/>
          <w:lang w:val="en-US" w:eastAsia="zh-CN"/>
        </w:rPr>
        <w:t>1、</w:t>
      </w:r>
      <w:r>
        <w:rPr>
          <w:rFonts w:hint="eastAsia" w:ascii="宋体" w:hAnsi="宋体"/>
          <w:sz w:val="24"/>
          <w:szCs w:val="24"/>
        </w:rPr>
        <w:t>乙方为甲方编制《重大项目财务承载能力分析报告》，内容包括但不限于：</w:t>
      </w:r>
    </w:p>
    <w:p w14:paraId="386BC0AA">
      <w:pPr>
        <w:spacing w:line="360" w:lineRule="auto"/>
        <w:ind w:firstLine="420"/>
        <w:rPr>
          <w:rFonts w:hint="eastAsia" w:ascii="宋体" w:hAnsi="宋体"/>
          <w:sz w:val="24"/>
          <w:szCs w:val="24"/>
        </w:rPr>
      </w:pPr>
      <w:r>
        <w:rPr>
          <w:rFonts w:ascii="宋体" w:hAnsi="宋体"/>
          <w:sz w:val="24"/>
          <w:szCs w:val="24"/>
        </w:rPr>
        <w:t>1</w:t>
      </w:r>
      <w:r>
        <w:rPr>
          <w:rFonts w:hint="eastAsia" w:ascii="宋体" w:hAnsi="宋体"/>
          <w:sz w:val="24"/>
          <w:szCs w:val="24"/>
          <w:lang w:val="en-US" w:eastAsia="zh-CN"/>
        </w:rPr>
        <w:t>.1</w:t>
      </w:r>
      <w:r>
        <w:rPr>
          <w:rFonts w:hint="eastAsia" w:ascii="宋体" w:hAnsi="宋体"/>
          <w:sz w:val="24"/>
          <w:szCs w:val="24"/>
        </w:rPr>
        <w:t>项目投资规模与资金需求测算；</w:t>
      </w:r>
    </w:p>
    <w:p w14:paraId="40F26F4F">
      <w:pPr>
        <w:spacing w:line="360" w:lineRule="auto"/>
        <w:ind w:firstLine="420"/>
        <w:rPr>
          <w:rFonts w:hint="eastAsia" w:ascii="宋体" w:hAnsi="宋体"/>
          <w:sz w:val="24"/>
          <w:szCs w:val="24"/>
        </w:rPr>
      </w:pPr>
      <w:r>
        <w:rPr>
          <w:rFonts w:hint="eastAsia" w:ascii="宋体" w:hAnsi="宋体"/>
          <w:sz w:val="24"/>
          <w:szCs w:val="24"/>
          <w:lang w:val="en-US" w:eastAsia="zh-CN"/>
        </w:rPr>
        <w:t>1.2</w:t>
      </w:r>
      <w:r>
        <w:rPr>
          <w:rFonts w:hint="eastAsia" w:ascii="宋体" w:hAnsi="宋体"/>
          <w:sz w:val="24"/>
          <w:szCs w:val="24"/>
        </w:rPr>
        <w:t>甲方现有财务状况及融资能力评估；</w:t>
      </w:r>
    </w:p>
    <w:p w14:paraId="65B13765">
      <w:pPr>
        <w:spacing w:line="360" w:lineRule="auto"/>
        <w:ind w:firstLine="420"/>
        <w:rPr>
          <w:rFonts w:hint="eastAsia" w:ascii="宋体" w:hAnsi="宋体"/>
          <w:sz w:val="24"/>
          <w:szCs w:val="24"/>
        </w:rPr>
      </w:pPr>
      <w:r>
        <w:rPr>
          <w:rFonts w:hint="eastAsia" w:ascii="宋体" w:hAnsi="宋体"/>
          <w:sz w:val="24"/>
          <w:szCs w:val="24"/>
          <w:lang w:val="en-US" w:eastAsia="zh-CN"/>
        </w:rPr>
        <w:t>1.3</w:t>
      </w:r>
      <w:r>
        <w:rPr>
          <w:rFonts w:hint="eastAsia" w:ascii="宋体" w:hAnsi="宋体"/>
          <w:sz w:val="24"/>
          <w:szCs w:val="24"/>
        </w:rPr>
        <w:t>项目现金流预测与偿债能力分析；</w:t>
      </w:r>
    </w:p>
    <w:p w14:paraId="0A64B761">
      <w:pPr>
        <w:spacing w:line="360" w:lineRule="auto"/>
        <w:ind w:firstLine="420"/>
        <w:rPr>
          <w:rFonts w:hint="eastAsia" w:ascii="宋体" w:hAnsi="宋体"/>
          <w:sz w:val="24"/>
          <w:szCs w:val="24"/>
        </w:rPr>
      </w:pPr>
      <w:r>
        <w:rPr>
          <w:rFonts w:hint="eastAsia" w:ascii="宋体" w:hAnsi="宋体"/>
          <w:sz w:val="24"/>
          <w:szCs w:val="24"/>
          <w:lang w:val="en-US" w:eastAsia="zh-CN"/>
        </w:rPr>
        <w:t>1.4</w:t>
      </w:r>
      <w:r>
        <w:rPr>
          <w:rFonts w:hint="eastAsia" w:ascii="宋体" w:hAnsi="宋体"/>
          <w:sz w:val="24"/>
          <w:szCs w:val="24"/>
        </w:rPr>
        <w:t>敏感性分析与风险预警；</w:t>
      </w:r>
    </w:p>
    <w:p w14:paraId="6C7428CF">
      <w:pPr>
        <w:spacing w:line="360" w:lineRule="auto"/>
        <w:ind w:firstLine="420"/>
        <w:rPr>
          <w:rFonts w:hint="eastAsia" w:ascii="宋体" w:hAnsi="宋体"/>
          <w:sz w:val="24"/>
          <w:szCs w:val="24"/>
        </w:rPr>
      </w:pPr>
      <w:r>
        <w:rPr>
          <w:rFonts w:hint="eastAsia" w:ascii="宋体" w:hAnsi="宋体"/>
          <w:sz w:val="24"/>
          <w:szCs w:val="24"/>
          <w:lang w:val="en-US" w:eastAsia="zh-CN"/>
        </w:rPr>
        <w:t>1.5</w:t>
      </w:r>
      <w:r>
        <w:rPr>
          <w:rFonts w:hint="eastAsia" w:ascii="宋体" w:hAnsi="宋体"/>
          <w:sz w:val="24"/>
          <w:szCs w:val="24"/>
        </w:rPr>
        <w:t>优化建议及可行性结论。</w:t>
      </w:r>
    </w:p>
    <w:p w14:paraId="03C76BDA">
      <w:pPr>
        <w:spacing w:line="360" w:lineRule="auto"/>
        <w:ind w:firstLine="42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2、参与设计符合甲方需求的融资方案，包括但不限于债务融资、股权融资等。</w:t>
      </w:r>
    </w:p>
    <w:p w14:paraId="42ED873C">
      <w:pPr>
        <w:spacing w:line="360" w:lineRule="auto"/>
        <w:ind w:firstLine="42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3、</w:t>
      </w:r>
      <w:r>
        <w:rPr>
          <w:rFonts w:hint="default" w:ascii="宋体" w:hAnsi="宋体" w:eastAsia="宋体" w:cs="Times New Roman"/>
          <w:sz w:val="24"/>
          <w:szCs w:val="24"/>
          <w:lang w:val="en-US" w:eastAsia="zh-CN"/>
        </w:rPr>
        <w:t>对甲方拟投资的新项目或并购标的进行财务可行性评估，包括但不限于盈利能力分析、现金流预测、投资回报率分析等。</w:t>
      </w:r>
    </w:p>
    <w:p w14:paraId="1E78DA35">
      <w:pPr>
        <w:spacing w:line="360" w:lineRule="auto"/>
        <w:ind w:firstLine="42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4、</w:t>
      </w:r>
      <w:r>
        <w:rPr>
          <w:rFonts w:hint="default" w:ascii="宋体" w:hAnsi="宋体" w:eastAsia="宋体" w:cs="Times New Roman"/>
          <w:sz w:val="24"/>
          <w:szCs w:val="24"/>
          <w:lang w:val="en-US" w:eastAsia="zh-CN"/>
        </w:rPr>
        <w:t>识别新项目或并购标的可能存在的财务风险，包括但不限于市场风险、信用风险、流动性风险等，并提出风险应对措施建议。</w:t>
      </w:r>
    </w:p>
    <w:p w14:paraId="33D1857D">
      <w:pPr>
        <w:spacing w:before="156" w:beforeLines="50" w:line="360" w:lineRule="auto"/>
        <w:ind w:firstLine="420"/>
        <w:rPr>
          <w:rFonts w:hint="eastAsia" w:ascii="宋体" w:hAnsi="宋体"/>
          <w:b/>
          <w:sz w:val="24"/>
          <w:szCs w:val="24"/>
        </w:rPr>
      </w:pPr>
      <w:r>
        <w:rPr>
          <w:rFonts w:ascii="宋体" w:hAnsi="宋体"/>
          <w:b/>
          <w:sz w:val="24"/>
          <w:szCs w:val="24"/>
        </w:rPr>
        <w:t>（</w:t>
      </w:r>
      <w:r>
        <w:rPr>
          <w:rFonts w:hint="eastAsia" w:ascii="宋体" w:hAnsi="宋体"/>
          <w:b/>
          <w:sz w:val="24"/>
          <w:szCs w:val="24"/>
        </w:rPr>
        <w:t>二</w:t>
      </w:r>
      <w:r>
        <w:rPr>
          <w:rFonts w:ascii="宋体" w:hAnsi="宋体"/>
          <w:b/>
          <w:sz w:val="24"/>
          <w:szCs w:val="24"/>
        </w:rPr>
        <w:t xml:space="preserve">） </w:t>
      </w:r>
      <w:r>
        <w:rPr>
          <w:rFonts w:hint="eastAsia" w:ascii="宋体" w:hAnsi="宋体"/>
          <w:b/>
          <w:sz w:val="24"/>
          <w:szCs w:val="24"/>
        </w:rPr>
        <w:t>服务方式</w:t>
      </w:r>
    </w:p>
    <w:p w14:paraId="1D5D0050">
      <w:pPr>
        <w:spacing w:line="360" w:lineRule="auto"/>
        <w:ind w:firstLine="420"/>
        <w:rPr>
          <w:rFonts w:hint="eastAsia" w:ascii="宋体" w:hAnsi="宋体"/>
          <w:sz w:val="24"/>
          <w:szCs w:val="24"/>
        </w:rPr>
      </w:pPr>
      <w:r>
        <w:rPr>
          <w:rFonts w:ascii="宋体" w:hAnsi="宋体"/>
          <w:sz w:val="24"/>
          <w:szCs w:val="24"/>
        </w:rPr>
        <w:t>1</w:t>
      </w:r>
      <w:r>
        <w:rPr>
          <w:rFonts w:hint="eastAsia" w:ascii="宋体" w:hAnsi="宋体"/>
          <w:sz w:val="24"/>
          <w:szCs w:val="24"/>
        </w:rPr>
        <w:t>、数据收集：甲方按乙方工作需求提供完整财务数据及项目文件；</w:t>
      </w:r>
    </w:p>
    <w:p w14:paraId="56AE33BD">
      <w:pPr>
        <w:spacing w:line="360" w:lineRule="auto"/>
        <w:ind w:firstLine="420"/>
        <w:rPr>
          <w:rFonts w:hint="eastAsia" w:ascii="宋体" w:hAnsi="宋体"/>
          <w:sz w:val="24"/>
          <w:szCs w:val="24"/>
        </w:rPr>
      </w:pPr>
      <w:r>
        <w:rPr>
          <w:rFonts w:hint="eastAsia" w:ascii="宋体" w:hAnsi="宋体"/>
          <w:sz w:val="24"/>
          <w:szCs w:val="24"/>
        </w:rPr>
        <w:t>2、分析方法：乙方通过对定量分析及定性分析对企业财务承载能力进行分析，主要包含债务承载能力、现金流覆盖能力和隐性债务触发点等；</w:t>
      </w:r>
    </w:p>
    <w:p w14:paraId="3CA57659">
      <w:pPr>
        <w:spacing w:line="360" w:lineRule="auto"/>
        <w:ind w:firstLine="420"/>
        <w:rPr>
          <w:rFonts w:hint="eastAsia" w:ascii="宋体" w:hAnsi="宋体"/>
          <w:sz w:val="24"/>
          <w:szCs w:val="24"/>
        </w:rPr>
      </w:pPr>
      <w:r>
        <w:rPr>
          <w:rFonts w:hint="eastAsia" w:ascii="宋体" w:hAnsi="宋体"/>
          <w:sz w:val="24"/>
          <w:szCs w:val="24"/>
        </w:rPr>
        <w:t>3、成果交付：提交书面报告（含电子版）。另根据甲方实际需要定期现场汇报。</w:t>
      </w:r>
    </w:p>
    <w:p w14:paraId="32BA11B2">
      <w:pPr>
        <w:spacing w:before="156" w:beforeLines="50" w:line="360" w:lineRule="auto"/>
        <w:ind w:firstLine="241" w:firstLineChars="100"/>
        <w:rPr>
          <w:rFonts w:hint="eastAsia" w:ascii="宋体" w:hAnsi="宋体"/>
          <w:b/>
          <w:sz w:val="24"/>
          <w:szCs w:val="24"/>
        </w:rPr>
      </w:pPr>
      <w:r>
        <w:rPr>
          <w:rFonts w:hint="eastAsia" w:ascii="宋体" w:hAnsi="宋体"/>
          <w:b/>
          <w:sz w:val="24"/>
          <w:szCs w:val="24"/>
        </w:rPr>
        <w:t>　</w:t>
      </w:r>
      <w:r>
        <w:rPr>
          <w:rFonts w:ascii="宋体" w:hAnsi="宋体"/>
          <w:b/>
          <w:sz w:val="24"/>
          <w:szCs w:val="24"/>
        </w:rPr>
        <w:t>（</w:t>
      </w:r>
      <w:r>
        <w:rPr>
          <w:rFonts w:hint="eastAsia" w:ascii="宋体" w:hAnsi="宋体"/>
          <w:b/>
          <w:sz w:val="24"/>
          <w:szCs w:val="24"/>
        </w:rPr>
        <w:t>三</w:t>
      </w:r>
      <w:r>
        <w:rPr>
          <w:rFonts w:ascii="宋体" w:hAnsi="宋体"/>
          <w:b/>
          <w:sz w:val="24"/>
          <w:szCs w:val="24"/>
        </w:rPr>
        <w:t xml:space="preserve">） </w:t>
      </w:r>
      <w:r>
        <w:rPr>
          <w:rFonts w:hint="eastAsia" w:ascii="宋体" w:hAnsi="宋体"/>
          <w:b/>
          <w:sz w:val="24"/>
          <w:szCs w:val="24"/>
        </w:rPr>
        <w:t>服务费用</w:t>
      </w:r>
    </w:p>
    <w:p w14:paraId="5CD9B3D6">
      <w:pPr>
        <w:spacing w:line="360" w:lineRule="auto"/>
        <w:ind w:firstLine="420"/>
        <w:rPr>
          <w:rFonts w:hint="eastAsia" w:ascii="宋体" w:hAnsi="宋体" w:eastAsia="宋体" w:cs="Times New Roman"/>
          <w:sz w:val="24"/>
          <w:szCs w:val="24"/>
        </w:rPr>
      </w:pPr>
      <w:r>
        <w:rPr>
          <w:rFonts w:ascii="宋体" w:hAnsi="宋体"/>
          <w:sz w:val="24"/>
          <w:szCs w:val="24"/>
        </w:rPr>
        <w:t>1</w:t>
      </w:r>
      <w:r>
        <w:rPr>
          <w:rFonts w:hint="eastAsia" w:ascii="宋体" w:hAnsi="宋体"/>
          <w:sz w:val="24"/>
          <w:szCs w:val="24"/>
        </w:rPr>
        <w:t>、</w:t>
      </w:r>
      <w:r>
        <w:rPr>
          <w:rFonts w:hint="eastAsia" w:ascii="宋体" w:hAnsi="宋体" w:eastAsia="宋体" w:cs="Times New Roman"/>
          <w:sz w:val="24"/>
          <w:szCs w:val="24"/>
        </w:rPr>
        <w:t>本合同</w:t>
      </w:r>
      <w:r>
        <w:rPr>
          <w:rFonts w:hint="eastAsia" w:ascii="宋体" w:hAnsi="宋体" w:eastAsia="宋体" w:cs="Times New Roman"/>
          <w:sz w:val="24"/>
          <w:szCs w:val="24"/>
          <w:lang w:val="en-US" w:eastAsia="zh-CN"/>
        </w:rPr>
        <w:t>含税</w:t>
      </w:r>
      <w:r>
        <w:rPr>
          <w:rFonts w:hint="eastAsia" w:ascii="宋体" w:hAnsi="宋体" w:eastAsia="宋体" w:cs="Times New Roman"/>
          <w:sz w:val="24"/>
          <w:szCs w:val="24"/>
        </w:rPr>
        <w:t>总价为人民币：（大写）</w:t>
      </w:r>
      <w:r>
        <w:rPr>
          <w:rFonts w:hint="eastAsia" w:ascii="宋体" w:hAnsi="宋体" w:eastAsia="宋体" w:cs="Times New Roman"/>
          <w:sz w:val="24"/>
          <w:szCs w:val="24"/>
          <w:u w:val="single"/>
          <w:lang w:val="en-US" w:eastAsia="zh-CN"/>
        </w:rPr>
        <w:t xml:space="preserve">     </w:t>
      </w:r>
      <w:r>
        <w:rPr>
          <w:rFonts w:hint="eastAsia" w:ascii="宋体" w:hAnsi="宋体" w:eastAsia="宋体" w:cs="Times New Roman"/>
          <w:sz w:val="24"/>
          <w:szCs w:val="24"/>
        </w:rPr>
        <w:t>；小写：￥</w:t>
      </w:r>
      <w:r>
        <w:rPr>
          <w:rFonts w:hint="eastAsia" w:ascii="宋体" w:hAnsi="宋体" w:eastAsia="宋体" w:cs="Times New Roman"/>
          <w:sz w:val="24"/>
          <w:szCs w:val="24"/>
          <w:u w:val="single"/>
          <w:lang w:val="en-US" w:eastAsia="zh-CN"/>
        </w:rPr>
        <w:t xml:space="preserve">    </w:t>
      </w:r>
      <w:r>
        <w:rPr>
          <w:rFonts w:hint="eastAsia" w:ascii="宋体" w:hAnsi="宋体" w:eastAsia="宋体" w:cs="Times New Roman"/>
          <w:sz w:val="24"/>
          <w:szCs w:val="24"/>
        </w:rPr>
        <w:t>。</w:t>
      </w:r>
      <w:r>
        <w:rPr>
          <w:rFonts w:hint="eastAsia" w:ascii="宋体" w:hAnsi="宋体" w:eastAsia="宋体" w:cs="Times New Roman"/>
          <w:sz w:val="24"/>
          <w:szCs w:val="24"/>
          <w:lang w:val="en-US" w:eastAsia="zh-CN"/>
        </w:rPr>
        <w:t>(</w:t>
      </w:r>
      <w:r>
        <w:rPr>
          <w:rFonts w:hint="eastAsia" w:ascii="宋体" w:hAnsi="宋体" w:eastAsia="宋体" w:cs="Times New Roman"/>
          <w:sz w:val="24"/>
          <w:szCs w:val="24"/>
        </w:rPr>
        <w:t>不含税金额￥</w:t>
      </w:r>
      <w:r>
        <w:rPr>
          <w:rFonts w:hint="eastAsia" w:ascii="宋体" w:hAnsi="宋体" w:eastAsia="宋体" w:cs="Times New Roman"/>
          <w:sz w:val="24"/>
          <w:szCs w:val="24"/>
          <w:u w:val="single"/>
          <w:lang w:val="en-US" w:eastAsia="zh-CN"/>
        </w:rPr>
        <w:t xml:space="preserve">     </w:t>
      </w:r>
      <w:r>
        <w:rPr>
          <w:rFonts w:hint="eastAsia" w:ascii="宋体" w:hAnsi="宋体" w:eastAsia="宋体" w:cs="Times New Roman"/>
          <w:sz w:val="24"/>
          <w:szCs w:val="24"/>
        </w:rPr>
        <w:t>，税率</w:t>
      </w:r>
      <w:r>
        <w:rPr>
          <w:rFonts w:hint="eastAsia" w:ascii="宋体" w:hAnsi="宋体" w:eastAsia="宋体" w:cs="Times New Roman"/>
          <w:sz w:val="24"/>
          <w:szCs w:val="24"/>
          <w:u w:val="single"/>
          <w:lang w:val="en-US" w:eastAsia="zh-CN"/>
        </w:rPr>
        <w:t xml:space="preserve">  </w:t>
      </w:r>
      <w:r>
        <w:rPr>
          <w:rFonts w:hint="eastAsia" w:ascii="宋体" w:hAnsi="宋体" w:eastAsia="宋体" w:cs="Times New Roman"/>
          <w:sz w:val="24"/>
          <w:szCs w:val="24"/>
        </w:rPr>
        <w:t>%，税金￥</w:t>
      </w:r>
      <w:r>
        <w:rPr>
          <w:rFonts w:hint="eastAsia" w:ascii="宋体" w:hAnsi="宋体" w:eastAsia="宋体" w:cs="Times New Roman"/>
          <w:sz w:val="24"/>
          <w:szCs w:val="24"/>
          <w:u w:val="single"/>
          <w:lang w:val="en-US" w:eastAsia="zh-CN"/>
        </w:rPr>
        <w:t xml:space="preserve">     </w:t>
      </w:r>
      <w:r>
        <w:rPr>
          <w:rFonts w:hint="eastAsia" w:ascii="宋体" w:hAnsi="宋体" w:eastAsia="宋体" w:cs="Times New Roman"/>
          <w:sz w:val="24"/>
          <w:szCs w:val="24"/>
          <w:lang w:eastAsia="zh-CN"/>
        </w:rPr>
        <w:t>）。本合同价款为固定总价包干，含税总价不因现场实际</w:t>
      </w:r>
      <w:r>
        <w:rPr>
          <w:rFonts w:hint="eastAsia" w:ascii="宋体" w:hAnsi="宋体" w:eastAsia="宋体" w:cs="Times New Roman"/>
          <w:sz w:val="24"/>
          <w:szCs w:val="24"/>
          <w:lang w:val="en-US" w:eastAsia="zh-CN"/>
        </w:rPr>
        <w:t>工作量</w:t>
      </w:r>
      <w:r>
        <w:rPr>
          <w:rFonts w:hint="eastAsia" w:ascii="宋体" w:hAnsi="宋体" w:eastAsia="宋体" w:cs="Times New Roman"/>
          <w:sz w:val="24"/>
          <w:szCs w:val="24"/>
          <w:lang w:eastAsia="zh-CN"/>
        </w:rPr>
        <w:t>的变化增加任何费用、不因国家政策导致增值税税率发生变化而增加任何费用。</w:t>
      </w:r>
    </w:p>
    <w:p w14:paraId="34219A48">
      <w:pPr>
        <w:spacing w:line="360" w:lineRule="auto"/>
        <w:ind w:firstLine="420"/>
        <w:rPr>
          <w:rFonts w:hint="eastAsia" w:ascii="宋体" w:hAnsi="宋体"/>
          <w:sz w:val="24"/>
          <w:szCs w:val="24"/>
          <w:lang w:val="en-US" w:eastAsia="zh-CN"/>
        </w:rPr>
      </w:pPr>
      <w:r>
        <w:rPr>
          <w:rFonts w:hint="eastAsia" w:ascii="宋体" w:hAnsi="宋体"/>
          <w:sz w:val="24"/>
          <w:szCs w:val="24"/>
        </w:rPr>
        <w:t>2、</w:t>
      </w:r>
      <w:r>
        <w:rPr>
          <w:rFonts w:hint="eastAsia" w:ascii="宋体" w:hAnsi="宋体"/>
          <w:sz w:val="24"/>
          <w:szCs w:val="24"/>
          <w:lang w:val="en-US" w:eastAsia="zh-CN"/>
        </w:rPr>
        <w:t>付款方式：</w:t>
      </w:r>
    </w:p>
    <w:p w14:paraId="0910A50E">
      <w:pPr>
        <w:spacing w:line="360" w:lineRule="auto"/>
        <w:ind w:firstLine="420"/>
        <w:rPr>
          <w:rFonts w:hint="eastAsia" w:ascii="宋体" w:hAnsi="宋体"/>
          <w:sz w:val="24"/>
          <w:szCs w:val="24"/>
          <w:lang w:val="en-US" w:eastAsia="zh-CN"/>
        </w:rPr>
      </w:pPr>
      <w:r>
        <w:rPr>
          <w:rFonts w:hint="eastAsia" w:ascii="宋体" w:hAnsi="宋体"/>
          <w:sz w:val="24"/>
          <w:szCs w:val="24"/>
          <w:lang w:val="en-US" w:eastAsia="zh-CN"/>
        </w:rPr>
        <w:t>2.1合同签订后</w:t>
      </w:r>
      <w:r>
        <w:rPr>
          <w:rFonts w:hint="eastAsia" w:ascii="宋体" w:hAnsi="宋体"/>
          <w:sz w:val="24"/>
          <w:szCs w:val="24"/>
          <w:lang w:val="en-US" w:eastAsia="zh-CN"/>
        </w:rPr>
        <w:t>，乙方提供等额合法有效正式增值税专用发票后十个工作日内，</w:t>
      </w:r>
      <w:r>
        <w:rPr>
          <w:rFonts w:hint="eastAsia" w:ascii="宋体" w:hAnsi="宋体"/>
          <w:sz w:val="24"/>
          <w:szCs w:val="24"/>
          <w:lang w:val="en-US" w:eastAsia="zh-CN"/>
        </w:rPr>
        <w:t>支付合同金额的20%；</w:t>
      </w:r>
    </w:p>
    <w:p w14:paraId="572F22C6">
      <w:pPr>
        <w:spacing w:line="360" w:lineRule="auto"/>
        <w:ind w:firstLine="420"/>
        <w:rPr>
          <w:rFonts w:hint="eastAsia" w:ascii="宋体" w:hAnsi="宋体"/>
          <w:sz w:val="24"/>
          <w:szCs w:val="24"/>
          <w:lang w:val="en-US" w:eastAsia="zh-CN"/>
        </w:rPr>
      </w:pPr>
      <w:r>
        <w:rPr>
          <w:rFonts w:hint="eastAsia" w:ascii="宋体" w:hAnsi="宋体"/>
          <w:sz w:val="24"/>
          <w:szCs w:val="24"/>
          <w:lang w:val="en-US" w:eastAsia="zh-CN"/>
        </w:rPr>
        <w:t>2.2乙方提交重大项目财务承载能力分析正式报告（终稿签字盖章）并提供等额合法有效正式增值税专用发票后十个工作日内，</w:t>
      </w:r>
      <w:r>
        <w:rPr>
          <w:rFonts w:hint="eastAsia" w:ascii="宋体" w:hAnsi="宋体"/>
          <w:sz w:val="24"/>
          <w:szCs w:val="24"/>
          <w:lang w:val="en-US" w:eastAsia="zh-CN"/>
        </w:rPr>
        <w:t>合同金额的</w:t>
      </w:r>
      <w:r>
        <w:rPr>
          <w:rFonts w:hint="eastAsia" w:ascii="宋体" w:hAnsi="宋体"/>
          <w:sz w:val="24"/>
          <w:szCs w:val="24"/>
          <w:lang w:val="en-US" w:eastAsia="zh-CN"/>
        </w:rPr>
        <w:t>50%；</w:t>
      </w:r>
    </w:p>
    <w:p w14:paraId="03582599">
      <w:pPr>
        <w:spacing w:line="360" w:lineRule="auto"/>
        <w:ind w:firstLine="420"/>
        <w:rPr>
          <w:rFonts w:hint="default" w:ascii="宋体" w:hAnsi="宋体"/>
          <w:sz w:val="24"/>
          <w:szCs w:val="24"/>
          <w:lang w:val="en-US" w:eastAsia="zh-CN"/>
        </w:rPr>
      </w:pPr>
      <w:r>
        <w:rPr>
          <w:rFonts w:hint="eastAsia" w:ascii="宋体" w:hAnsi="宋体"/>
          <w:sz w:val="24"/>
          <w:szCs w:val="24"/>
          <w:lang w:val="en-US" w:eastAsia="zh-CN"/>
        </w:rPr>
        <w:t>2.3乙方在咨询服务期限满1年并提供等额合法有效正式增值税专用发票后十个工作日内，支付合同金额的30%。</w:t>
      </w:r>
    </w:p>
    <w:p w14:paraId="0B5CFE99">
      <w:pPr>
        <w:spacing w:line="360" w:lineRule="auto"/>
        <w:ind w:firstLine="480" w:firstLineChars="200"/>
        <w:rPr>
          <w:rFonts w:hint="eastAsia" w:ascii="宋体" w:hAnsi="宋体" w:cs="仿宋_GB2312"/>
          <w:kern w:val="0"/>
          <w:sz w:val="24"/>
          <w:szCs w:val="24"/>
        </w:rPr>
      </w:pPr>
      <w:r>
        <w:rPr>
          <w:rFonts w:hint="eastAsia" w:ascii="宋体" w:hAnsi="宋体"/>
          <w:bCs/>
          <w:sz w:val="24"/>
        </w:rPr>
        <w:t>3、</w:t>
      </w:r>
      <w:r>
        <w:rPr>
          <w:rFonts w:hint="eastAsia" w:ascii="宋体" w:hAnsi="宋体" w:cs="仿宋_GB2312"/>
          <w:kern w:val="0"/>
          <w:sz w:val="24"/>
          <w:szCs w:val="24"/>
        </w:rPr>
        <w:t>乙方指定的收款账户为：</w:t>
      </w:r>
    </w:p>
    <w:p w14:paraId="099FEA82">
      <w:pPr>
        <w:spacing w:line="360" w:lineRule="auto"/>
        <w:ind w:firstLine="480" w:firstLineChars="200"/>
        <w:rPr>
          <w:rFonts w:hint="eastAsia" w:ascii="宋体" w:hAnsi="宋体" w:cs="仿宋_GB2312"/>
          <w:kern w:val="0"/>
          <w:sz w:val="24"/>
          <w:szCs w:val="24"/>
        </w:rPr>
      </w:pPr>
      <w:r>
        <w:rPr>
          <w:rFonts w:hint="eastAsia" w:ascii="宋体" w:hAnsi="宋体" w:cs="仿宋_GB2312"/>
          <w:kern w:val="0"/>
          <w:sz w:val="24"/>
          <w:szCs w:val="24"/>
        </w:rPr>
        <w:t>银行账户：</w:t>
      </w:r>
    </w:p>
    <w:p w14:paraId="56F4362C">
      <w:pPr>
        <w:spacing w:line="360" w:lineRule="auto"/>
        <w:ind w:firstLine="480" w:firstLineChars="200"/>
        <w:rPr>
          <w:rFonts w:hint="eastAsia" w:ascii="宋体" w:hAnsi="宋体" w:cs="仿宋_GB2312"/>
          <w:kern w:val="0"/>
          <w:sz w:val="24"/>
          <w:szCs w:val="24"/>
        </w:rPr>
      </w:pPr>
      <w:r>
        <w:rPr>
          <w:rFonts w:hint="eastAsia" w:ascii="宋体" w:hAnsi="宋体" w:cs="仿宋_GB2312"/>
          <w:kern w:val="0"/>
          <w:sz w:val="24"/>
          <w:szCs w:val="24"/>
        </w:rPr>
        <w:t>银行账号：</w:t>
      </w:r>
    </w:p>
    <w:p w14:paraId="71CF119E">
      <w:pPr>
        <w:spacing w:line="360" w:lineRule="auto"/>
        <w:ind w:firstLine="480" w:firstLineChars="200"/>
        <w:rPr>
          <w:rFonts w:ascii="宋体" w:hAnsi="宋体"/>
          <w:sz w:val="24"/>
          <w:szCs w:val="24"/>
        </w:rPr>
      </w:pPr>
      <w:r>
        <w:rPr>
          <w:rFonts w:hint="eastAsia" w:ascii="宋体" w:hAnsi="宋体" w:cs="仿宋_GB2312"/>
          <w:kern w:val="0"/>
          <w:sz w:val="24"/>
          <w:szCs w:val="24"/>
        </w:rPr>
        <w:t>开户银行：</w:t>
      </w:r>
    </w:p>
    <w:p w14:paraId="2C55CF71">
      <w:pPr>
        <w:spacing w:line="360" w:lineRule="auto"/>
        <w:ind w:firstLine="480" w:firstLineChars="200"/>
        <w:rPr>
          <w:rFonts w:hint="eastAsia" w:ascii="宋体" w:hAnsi="宋体"/>
          <w:sz w:val="24"/>
          <w:szCs w:val="24"/>
        </w:rPr>
      </w:pPr>
      <w:r>
        <w:rPr>
          <w:rFonts w:hint="eastAsia" w:ascii="宋体" w:hAnsi="宋体"/>
          <w:sz w:val="24"/>
          <w:szCs w:val="24"/>
        </w:rPr>
        <w:t>开户行行号:</w:t>
      </w:r>
    </w:p>
    <w:p w14:paraId="2FE3E039">
      <w:pPr>
        <w:spacing w:before="312" w:beforeLines="100" w:line="360" w:lineRule="auto"/>
        <w:rPr>
          <w:rFonts w:hint="eastAsia" w:ascii="宋体" w:hAnsi="宋体"/>
          <w:b/>
          <w:sz w:val="24"/>
          <w:szCs w:val="24"/>
        </w:rPr>
      </w:pPr>
      <w:r>
        <w:rPr>
          <w:rFonts w:hint="eastAsia" w:ascii="宋体" w:hAnsi="宋体"/>
          <w:b/>
          <w:sz w:val="24"/>
          <w:szCs w:val="24"/>
        </w:rPr>
        <w:t>　　二、</w:t>
      </w:r>
      <w:r>
        <w:rPr>
          <w:rFonts w:ascii="宋体" w:hAnsi="宋体"/>
          <w:b/>
          <w:sz w:val="24"/>
          <w:szCs w:val="24"/>
        </w:rPr>
        <w:t xml:space="preserve"> </w:t>
      </w:r>
      <w:r>
        <w:rPr>
          <w:rFonts w:hint="eastAsia" w:ascii="宋体" w:hAnsi="宋体"/>
          <w:b/>
          <w:sz w:val="24"/>
          <w:szCs w:val="24"/>
        </w:rPr>
        <w:t>双方的责任和义务</w:t>
      </w:r>
    </w:p>
    <w:p w14:paraId="541DAE11">
      <w:pPr>
        <w:spacing w:before="156" w:beforeLines="50" w:line="360" w:lineRule="auto"/>
        <w:ind w:firstLine="241" w:firstLineChars="100"/>
        <w:rPr>
          <w:rFonts w:hint="eastAsia" w:ascii="宋体" w:hAnsi="宋体"/>
          <w:b/>
          <w:sz w:val="24"/>
          <w:szCs w:val="24"/>
        </w:rPr>
      </w:pPr>
      <w:bookmarkStart w:id="0" w:name="_GoBack"/>
      <w:bookmarkEnd w:id="0"/>
      <w:r>
        <w:rPr>
          <w:rFonts w:ascii="宋体" w:hAnsi="宋体"/>
          <w:b/>
          <w:sz w:val="24"/>
          <w:szCs w:val="24"/>
        </w:rPr>
        <w:t>（</w:t>
      </w:r>
      <w:r>
        <w:rPr>
          <w:rFonts w:hint="eastAsia" w:ascii="宋体" w:hAnsi="宋体"/>
          <w:b/>
          <w:sz w:val="24"/>
          <w:szCs w:val="24"/>
        </w:rPr>
        <w:t>一</w:t>
      </w:r>
      <w:r>
        <w:rPr>
          <w:rFonts w:ascii="宋体" w:hAnsi="宋体"/>
          <w:b/>
          <w:sz w:val="24"/>
          <w:szCs w:val="24"/>
        </w:rPr>
        <w:t xml:space="preserve">） </w:t>
      </w:r>
      <w:r>
        <w:rPr>
          <w:rFonts w:hint="eastAsia" w:ascii="宋体" w:hAnsi="宋体"/>
          <w:b/>
          <w:sz w:val="24"/>
          <w:szCs w:val="24"/>
        </w:rPr>
        <w:t>甲方的责任</w:t>
      </w:r>
      <w:r>
        <w:rPr>
          <w:rFonts w:ascii="宋体" w:hAnsi="宋体"/>
          <w:b/>
          <w:sz w:val="24"/>
          <w:szCs w:val="24"/>
        </w:rPr>
        <w:t>与</w:t>
      </w:r>
      <w:r>
        <w:rPr>
          <w:rFonts w:hint="eastAsia" w:ascii="宋体" w:hAnsi="宋体"/>
          <w:b/>
          <w:sz w:val="24"/>
          <w:szCs w:val="24"/>
        </w:rPr>
        <w:t>义务</w:t>
      </w:r>
    </w:p>
    <w:p w14:paraId="11ABA755">
      <w:pPr>
        <w:spacing w:line="360" w:lineRule="auto"/>
        <w:ind w:firstLine="480" w:firstLineChars="200"/>
        <w:rPr>
          <w:rFonts w:hint="eastAsia" w:ascii="宋体" w:hAnsi="宋体"/>
          <w:bCs/>
          <w:sz w:val="24"/>
        </w:rPr>
      </w:pPr>
      <w:r>
        <w:rPr>
          <w:rFonts w:ascii="宋体" w:hAnsi="宋体"/>
          <w:bCs/>
          <w:sz w:val="24"/>
        </w:rPr>
        <w:t>1</w:t>
      </w:r>
      <w:r>
        <w:rPr>
          <w:rFonts w:hint="eastAsia" w:ascii="宋体" w:hAnsi="宋体"/>
          <w:bCs/>
          <w:sz w:val="24"/>
        </w:rPr>
        <w:t>、配合乙方工作，并为乙方提供必要的便利条件。</w:t>
      </w:r>
    </w:p>
    <w:p w14:paraId="013F239A">
      <w:pPr>
        <w:spacing w:line="360" w:lineRule="auto"/>
        <w:ind w:firstLine="480" w:firstLineChars="200"/>
        <w:rPr>
          <w:rFonts w:hint="eastAsia" w:ascii="宋体" w:hAnsi="宋体"/>
          <w:bCs/>
          <w:sz w:val="24"/>
        </w:rPr>
      </w:pPr>
      <w:r>
        <w:rPr>
          <w:rFonts w:hint="eastAsia" w:ascii="宋体" w:hAnsi="宋体"/>
          <w:bCs/>
          <w:sz w:val="24"/>
        </w:rPr>
        <w:t>2、向乙方提供项目有关所需的基本资料和相关信息等，并确保其真实、准确、完整，如有虚假和遗漏必须承担因此引起的一切经济损失和违约责任等全部法律后果。</w:t>
      </w:r>
    </w:p>
    <w:p w14:paraId="6E457581">
      <w:pPr>
        <w:spacing w:line="360" w:lineRule="auto"/>
        <w:ind w:firstLine="480" w:firstLineChars="200"/>
        <w:rPr>
          <w:rFonts w:hint="eastAsia" w:ascii="宋体" w:hAnsi="宋体"/>
          <w:bCs/>
          <w:sz w:val="24"/>
        </w:rPr>
      </w:pPr>
      <w:r>
        <w:rPr>
          <w:rFonts w:ascii="宋体" w:hAnsi="宋体"/>
          <w:bCs/>
          <w:sz w:val="24"/>
        </w:rPr>
        <w:t>3</w:t>
      </w:r>
      <w:r>
        <w:rPr>
          <w:rFonts w:hint="eastAsia" w:ascii="宋体" w:hAnsi="宋体"/>
          <w:bCs/>
          <w:sz w:val="24"/>
        </w:rPr>
        <w:t>、</w:t>
      </w:r>
      <w:r>
        <w:rPr>
          <w:rFonts w:ascii="宋体" w:hAnsi="宋体"/>
          <w:bCs/>
          <w:sz w:val="24"/>
        </w:rPr>
        <w:t xml:space="preserve"> </w:t>
      </w:r>
      <w:r>
        <w:rPr>
          <w:rFonts w:hint="eastAsia" w:ascii="宋体" w:hAnsi="宋体"/>
          <w:bCs/>
          <w:sz w:val="24"/>
        </w:rPr>
        <w:t>按双方协定及时向乙方支付相关的咨询费用。</w:t>
      </w:r>
    </w:p>
    <w:p w14:paraId="64935E4B">
      <w:pPr>
        <w:spacing w:before="156" w:beforeLines="50" w:line="360" w:lineRule="auto"/>
        <w:ind w:firstLine="420"/>
        <w:rPr>
          <w:rFonts w:hint="eastAsia" w:ascii="宋体" w:hAnsi="宋体"/>
          <w:b/>
          <w:sz w:val="24"/>
          <w:szCs w:val="24"/>
        </w:rPr>
      </w:pPr>
      <w:r>
        <w:rPr>
          <w:rFonts w:ascii="宋体" w:hAnsi="宋体"/>
          <w:b/>
          <w:sz w:val="24"/>
          <w:szCs w:val="24"/>
        </w:rPr>
        <w:t>(</w:t>
      </w:r>
      <w:r>
        <w:rPr>
          <w:rFonts w:hint="eastAsia" w:ascii="宋体" w:hAnsi="宋体"/>
          <w:b/>
          <w:sz w:val="24"/>
          <w:szCs w:val="24"/>
        </w:rPr>
        <w:t>二</w:t>
      </w:r>
      <w:r>
        <w:rPr>
          <w:rFonts w:ascii="宋体" w:hAnsi="宋体"/>
          <w:b/>
          <w:sz w:val="24"/>
          <w:szCs w:val="24"/>
        </w:rPr>
        <w:t xml:space="preserve">) </w:t>
      </w:r>
      <w:r>
        <w:rPr>
          <w:rFonts w:hint="eastAsia" w:ascii="宋体" w:hAnsi="宋体"/>
          <w:b/>
          <w:sz w:val="24"/>
          <w:szCs w:val="24"/>
        </w:rPr>
        <w:t>乙方的责任</w:t>
      </w:r>
      <w:r>
        <w:rPr>
          <w:rFonts w:ascii="宋体" w:hAnsi="宋体"/>
          <w:b/>
          <w:sz w:val="24"/>
          <w:szCs w:val="24"/>
        </w:rPr>
        <w:t>与</w:t>
      </w:r>
      <w:r>
        <w:rPr>
          <w:rFonts w:hint="eastAsia" w:ascii="宋体" w:hAnsi="宋体"/>
          <w:b/>
          <w:sz w:val="24"/>
          <w:szCs w:val="24"/>
        </w:rPr>
        <w:t>义务</w:t>
      </w:r>
    </w:p>
    <w:p w14:paraId="0495579D">
      <w:pPr>
        <w:spacing w:line="360" w:lineRule="auto"/>
        <w:ind w:firstLine="420"/>
        <w:rPr>
          <w:rFonts w:hint="eastAsia" w:ascii="宋体" w:hAnsi="宋体"/>
          <w:sz w:val="24"/>
          <w:szCs w:val="24"/>
        </w:rPr>
      </w:pPr>
      <w:r>
        <w:rPr>
          <w:rFonts w:ascii="宋体" w:hAnsi="宋体"/>
          <w:sz w:val="24"/>
          <w:szCs w:val="24"/>
        </w:rPr>
        <w:t>1</w:t>
      </w:r>
      <w:r>
        <w:rPr>
          <w:rFonts w:hint="eastAsia" w:ascii="宋体" w:hAnsi="宋体"/>
          <w:sz w:val="24"/>
          <w:szCs w:val="24"/>
        </w:rPr>
        <w:t>、乙方保证按照本合同的规定全面及时地履行本合同。</w:t>
      </w:r>
    </w:p>
    <w:p w14:paraId="704ED8E1">
      <w:pPr>
        <w:spacing w:line="360" w:lineRule="auto"/>
        <w:ind w:firstLine="420"/>
        <w:rPr>
          <w:rFonts w:hint="eastAsia" w:ascii="宋体" w:hAnsi="宋体"/>
          <w:sz w:val="24"/>
          <w:szCs w:val="24"/>
        </w:rPr>
      </w:pPr>
      <w:r>
        <w:rPr>
          <w:rFonts w:ascii="宋体" w:hAnsi="宋体"/>
          <w:sz w:val="24"/>
          <w:szCs w:val="24"/>
        </w:rPr>
        <w:t>2</w:t>
      </w:r>
      <w:r>
        <w:rPr>
          <w:rFonts w:hint="eastAsia" w:ascii="宋体" w:hAnsi="宋体"/>
          <w:sz w:val="24"/>
          <w:szCs w:val="24"/>
        </w:rPr>
        <w:t>、根据需要安排人员到甲方项目所在地进行实地工作，在甲方及其管理层全面履行其义务并已提供所有必须的全部文件资料的前提下</w:t>
      </w:r>
      <w:r>
        <w:rPr>
          <w:rFonts w:hint="eastAsia" w:ascii="宋体" w:hAnsi="宋体"/>
          <w:sz w:val="24"/>
          <w:szCs w:val="24"/>
          <w:u w:val="single"/>
        </w:rPr>
        <w:t>30</w:t>
      </w:r>
      <w:r>
        <w:rPr>
          <w:rFonts w:hint="eastAsia" w:ascii="宋体" w:hAnsi="宋体"/>
          <w:sz w:val="24"/>
          <w:szCs w:val="24"/>
        </w:rPr>
        <w:t>个工作日内提交包含甲方需求的分析报告。</w:t>
      </w:r>
    </w:p>
    <w:p w14:paraId="1BE32E72">
      <w:pPr>
        <w:spacing w:line="360" w:lineRule="auto"/>
        <w:ind w:firstLine="420"/>
        <w:rPr>
          <w:rFonts w:hint="eastAsia" w:ascii="宋体" w:hAnsi="宋体"/>
          <w:sz w:val="24"/>
          <w:szCs w:val="24"/>
        </w:rPr>
      </w:pPr>
      <w:r>
        <w:rPr>
          <w:rFonts w:ascii="宋体" w:hAnsi="宋体"/>
          <w:sz w:val="24"/>
          <w:szCs w:val="24"/>
        </w:rPr>
        <w:t>3</w:t>
      </w:r>
      <w:r>
        <w:rPr>
          <w:rFonts w:hint="eastAsia" w:ascii="宋体" w:hAnsi="宋体"/>
          <w:sz w:val="24"/>
          <w:szCs w:val="24"/>
        </w:rPr>
        <w:t>、</w:t>
      </w:r>
      <w:r>
        <w:rPr>
          <w:rFonts w:ascii="宋体" w:hAnsi="宋体"/>
          <w:sz w:val="24"/>
          <w:szCs w:val="24"/>
        </w:rPr>
        <w:t xml:space="preserve"> </w:t>
      </w:r>
      <w:r>
        <w:rPr>
          <w:rFonts w:hint="eastAsia" w:ascii="宋体" w:hAnsi="宋体"/>
          <w:sz w:val="24"/>
          <w:szCs w:val="24"/>
        </w:rPr>
        <w:t>乙方承诺不接受任何针对甲方敌意业务且将对甲方产生不利影响的委托，并将尽最大努力维护甲方利益。</w:t>
      </w:r>
    </w:p>
    <w:p w14:paraId="51EBB827">
      <w:pPr>
        <w:spacing w:line="360" w:lineRule="auto"/>
        <w:ind w:firstLine="420"/>
        <w:rPr>
          <w:rFonts w:hint="eastAsia" w:ascii="宋体" w:hAnsi="宋体"/>
          <w:sz w:val="24"/>
          <w:szCs w:val="24"/>
        </w:rPr>
      </w:pPr>
      <w:r>
        <w:rPr>
          <w:rFonts w:hint="eastAsia" w:ascii="宋体" w:hAnsi="宋体"/>
          <w:sz w:val="24"/>
          <w:szCs w:val="24"/>
        </w:rPr>
        <w:t>4、</w:t>
      </w:r>
      <w:r>
        <w:rPr>
          <w:rFonts w:ascii="宋体" w:hAnsi="宋体"/>
          <w:sz w:val="24"/>
          <w:szCs w:val="24"/>
        </w:rPr>
        <w:t xml:space="preserve"> </w:t>
      </w:r>
      <w:r>
        <w:rPr>
          <w:rFonts w:hint="eastAsia" w:ascii="宋体" w:hAnsi="宋体"/>
          <w:sz w:val="24"/>
          <w:szCs w:val="24"/>
        </w:rPr>
        <w:t>乙方为甲方承担保密义务，未经甲方许可，乙方不得向第三方提供</w:t>
      </w:r>
      <w:r>
        <w:rPr>
          <w:rFonts w:ascii="宋体" w:hAnsi="宋体"/>
          <w:sz w:val="24"/>
          <w:szCs w:val="24"/>
        </w:rPr>
        <w:t>(</w:t>
      </w:r>
      <w:r>
        <w:rPr>
          <w:rFonts w:hint="eastAsia" w:ascii="宋体" w:hAnsi="宋体"/>
          <w:sz w:val="24"/>
          <w:szCs w:val="24"/>
        </w:rPr>
        <w:t>披露</w:t>
      </w:r>
      <w:r>
        <w:rPr>
          <w:rFonts w:ascii="宋体" w:hAnsi="宋体"/>
          <w:sz w:val="24"/>
          <w:szCs w:val="24"/>
        </w:rPr>
        <w:t>)</w:t>
      </w:r>
      <w:r>
        <w:rPr>
          <w:rFonts w:hint="eastAsia" w:ascii="宋体" w:hAnsi="宋体"/>
          <w:sz w:val="24"/>
          <w:szCs w:val="24"/>
        </w:rPr>
        <w:t>甲方提交乙方使用的材料与文件，法律法规另有规定或监管部门另有要求的除外。</w:t>
      </w:r>
    </w:p>
    <w:p w14:paraId="5B04994B">
      <w:pPr>
        <w:spacing w:before="312" w:beforeLines="100" w:line="360" w:lineRule="auto"/>
        <w:ind w:firstLine="420"/>
        <w:rPr>
          <w:rFonts w:hint="eastAsia" w:ascii="宋体" w:hAnsi="宋体"/>
          <w:b/>
          <w:sz w:val="24"/>
          <w:szCs w:val="24"/>
        </w:rPr>
      </w:pPr>
      <w:r>
        <w:rPr>
          <w:rFonts w:hint="eastAsia" w:ascii="宋体" w:hAnsi="宋体"/>
          <w:b/>
          <w:sz w:val="24"/>
          <w:szCs w:val="24"/>
        </w:rPr>
        <w:t>三、</w:t>
      </w:r>
      <w:r>
        <w:rPr>
          <w:rFonts w:ascii="宋体" w:hAnsi="宋体"/>
          <w:b/>
          <w:sz w:val="24"/>
          <w:szCs w:val="24"/>
        </w:rPr>
        <w:t xml:space="preserve"> </w:t>
      </w:r>
      <w:r>
        <w:rPr>
          <w:rFonts w:hint="eastAsia" w:ascii="宋体" w:hAnsi="宋体"/>
          <w:b/>
          <w:sz w:val="24"/>
          <w:szCs w:val="24"/>
        </w:rPr>
        <w:t>协议的效力与违约责任</w:t>
      </w:r>
    </w:p>
    <w:p w14:paraId="07E2C425">
      <w:pPr>
        <w:spacing w:line="360" w:lineRule="auto"/>
        <w:ind w:firstLine="420"/>
        <w:rPr>
          <w:rFonts w:hint="eastAsia" w:ascii="宋体" w:hAnsi="宋体"/>
          <w:sz w:val="24"/>
          <w:szCs w:val="24"/>
        </w:rPr>
      </w:pPr>
      <w:r>
        <w:rPr>
          <w:rFonts w:hint="eastAsia" w:ascii="宋体" w:hAnsi="宋体"/>
          <w:sz w:val="24"/>
          <w:szCs w:val="24"/>
        </w:rPr>
        <w:t>1、如果根据乙方的执业准则（包括职业道德）及其他有关专业职责、适用的法律法规或其他任何法定的要求，乙方认为已不适宜继续为甲方提供本约定书约定的服务，乙方可以采取合理方式向甲方通知的方式终止履行本约定书。甲乙双方终止本约定书后，甲方不得要求退还任何咨询费用。</w:t>
      </w:r>
    </w:p>
    <w:p w14:paraId="218B6701">
      <w:pPr>
        <w:spacing w:line="360" w:lineRule="auto"/>
        <w:ind w:firstLine="420"/>
        <w:rPr>
          <w:rFonts w:hint="eastAsia" w:ascii="宋体" w:hAnsi="宋体"/>
          <w:sz w:val="24"/>
          <w:szCs w:val="24"/>
        </w:rPr>
      </w:pPr>
      <w:r>
        <w:rPr>
          <w:rFonts w:hint="eastAsia" w:ascii="宋体" w:hAnsi="宋体"/>
          <w:sz w:val="24"/>
          <w:szCs w:val="24"/>
        </w:rPr>
        <w:t>2、</w:t>
      </w:r>
      <w:r>
        <w:rPr>
          <w:rFonts w:ascii="宋体" w:hAnsi="宋体"/>
          <w:sz w:val="24"/>
          <w:szCs w:val="24"/>
        </w:rPr>
        <w:t xml:space="preserve"> </w:t>
      </w:r>
      <w:r>
        <w:rPr>
          <w:rFonts w:hint="eastAsia" w:ascii="宋体" w:hAnsi="宋体"/>
          <w:sz w:val="24"/>
          <w:szCs w:val="24"/>
        </w:rPr>
        <w:t>任何一方不履行本协议规定的义务，均须依法承担相应的违约责任。</w:t>
      </w:r>
    </w:p>
    <w:p w14:paraId="7BFB679A">
      <w:pPr>
        <w:spacing w:line="360" w:lineRule="auto"/>
        <w:ind w:firstLine="420"/>
        <w:rPr>
          <w:rFonts w:hint="eastAsia" w:ascii="宋体" w:hAnsi="宋体"/>
          <w:sz w:val="24"/>
          <w:szCs w:val="24"/>
        </w:rPr>
      </w:pPr>
      <w:r>
        <w:rPr>
          <w:rFonts w:hint="eastAsia" w:ascii="宋体" w:hAnsi="宋体"/>
          <w:sz w:val="24"/>
          <w:szCs w:val="24"/>
        </w:rPr>
        <w:t>3、</w:t>
      </w:r>
      <w:r>
        <w:rPr>
          <w:rFonts w:ascii="宋体" w:hAnsi="宋体"/>
          <w:sz w:val="24"/>
          <w:szCs w:val="24"/>
        </w:rPr>
        <w:t xml:space="preserve"> </w:t>
      </w:r>
      <w:r>
        <w:rPr>
          <w:rFonts w:hint="eastAsia" w:ascii="宋体" w:hAnsi="宋体"/>
          <w:sz w:val="24"/>
          <w:szCs w:val="24"/>
        </w:rPr>
        <w:t>本协议一式</w:t>
      </w:r>
      <w:r>
        <w:rPr>
          <w:rFonts w:hint="eastAsia" w:ascii="宋体" w:hAnsi="宋体"/>
          <w:sz w:val="24"/>
          <w:szCs w:val="24"/>
          <w:u w:val="single"/>
        </w:rPr>
        <w:t>肆</w:t>
      </w:r>
      <w:r>
        <w:rPr>
          <w:rFonts w:hint="eastAsia" w:ascii="宋体" w:hAnsi="宋体"/>
          <w:sz w:val="24"/>
          <w:szCs w:val="24"/>
        </w:rPr>
        <w:t>份，双方各执</w:t>
      </w:r>
      <w:r>
        <w:rPr>
          <w:rFonts w:hint="eastAsia" w:ascii="宋体" w:hAnsi="宋体"/>
          <w:sz w:val="24"/>
          <w:szCs w:val="24"/>
          <w:u w:val="single"/>
        </w:rPr>
        <w:t>贰</w:t>
      </w:r>
      <w:r>
        <w:rPr>
          <w:rFonts w:hint="eastAsia" w:ascii="宋体" w:hAnsi="宋体"/>
          <w:sz w:val="24"/>
          <w:szCs w:val="24"/>
        </w:rPr>
        <w:t>份。未尽事宜，经双方磋商后，可另立补充协议，具有同等法律效力。</w:t>
      </w:r>
    </w:p>
    <w:p w14:paraId="76C281C4">
      <w:pPr>
        <w:spacing w:line="360" w:lineRule="auto"/>
        <w:ind w:firstLine="420"/>
        <w:rPr>
          <w:rFonts w:hint="eastAsia" w:ascii="宋体" w:hAnsi="宋体"/>
          <w:sz w:val="24"/>
          <w:szCs w:val="24"/>
        </w:rPr>
      </w:pPr>
      <w:r>
        <w:rPr>
          <w:rFonts w:hint="eastAsia" w:ascii="宋体" w:hAnsi="宋体"/>
          <w:sz w:val="24"/>
          <w:szCs w:val="24"/>
        </w:rPr>
        <w:t>4、</w:t>
      </w:r>
      <w:r>
        <w:rPr>
          <w:rFonts w:ascii="宋体" w:hAnsi="宋体"/>
          <w:sz w:val="24"/>
          <w:szCs w:val="24"/>
        </w:rPr>
        <w:t xml:space="preserve"> </w:t>
      </w:r>
      <w:r>
        <w:rPr>
          <w:rFonts w:hint="eastAsia" w:ascii="宋体" w:hAnsi="宋体"/>
          <w:sz w:val="24"/>
          <w:szCs w:val="24"/>
        </w:rPr>
        <w:t>本协议自双方法定代表人或授权代表签字并加盖公章之日起生效。</w:t>
      </w:r>
    </w:p>
    <w:p w14:paraId="5B69A9B3">
      <w:pPr>
        <w:spacing w:line="480" w:lineRule="exact"/>
        <w:rPr>
          <w:rFonts w:hint="eastAsia" w:ascii="宋体" w:hAnsi="宋体"/>
          <w:sz w:val="24"/>
          <w:szCs w:val="24"/>
        </w:rPr>
      </w:pPr>
    </w:p>
    <w:p w14:paraId="53BA6653">
      <w:pPr>
        <w:spacing w:line="480" w:lineRule="exact"/>
        <w:rPr>
          <w:rFonts w:hint="eastAsia" w:ascii="宋体" w:hAnsi="宋体"/>
          <w:sz w:val="24"/>
          <w:szCs w:val="24"/>
        </w:rPr>
      </w:pPr>
    </w:p>
    <w:p w14:paraId="29C95279">
      <w:pPr>
        <w:spacing w:line="480" w:lineRule="exact"/>
        <w:rPr>
          <w:rFonts w:hint="eastAsia" w:ascii="宋体" w:hAnsi="宋体"/>
          <w:sz w:val="24"/>
          <w:szCs w:val="24"/>
        </w:rPr>
      </w:pPr>
    </w:p>
    <w:tbl>
      <w:tblPr>
        <w:tblStyle w:val="5"/>
        <w:tblW w:w="9801" w:type="dxa"/>
        <w:tblInd w:w="0" w:type="dxa"/>
        <w:tblLayout w:type="fixed"/>
        <w:tblCellMar>
          <w:top w:w="0" w:type="dxa"/>
          <w:left w:w="108" w:type="dxa"/>
          <w:bottom w:w="0" w:type="dxa"/>
          <w:right w:w="108" w:type="dxa"/>
        </w:tblCellMar>
      </w:tblPr>
      <w:tblGrid>
        <w:gridCol w:w="4786"/>
        <w:gridCol w:w="5015"/>
      </w:tblGrid>
      <w:tr w14:paraId="2D28B7ED">
        <w:tblPrEx>
          <w:tblCellMar>
            <w:top w:w="0" w:type="dxa"/>
            <w:left w:w="108" w:type="dxa"/>
            <w:bottom w:w="0" w:type="dxa"/>
            <w:right w:w="108" w:type="dxa"/>
          </w:tblCellMar>
        </w:tblPrEx>
        <w:trPr>
          <w:trHeight w:val="1137" w:hRule="atLeast"/>
        </w:trPr>
        <w:tc>
          <w:tcPr>
            <w:tcW w:w="4786" w:type="dxa"/>
          </w:tcPr>
          <w:p w14:paraId="7FA01216">
            <w:pPr>
              <w:widowControl/>
              <w:autoSpaceDE w:val="0"/>
              <w:autoSpaceDN w:val="0"/>
              <w:adjustRightInd w:val="0"/>
              <w:spacing w:line="360" w:lineRule="auto"/>
              <w:jc w:val="left"/>
              <w:rPr>
                <w:rFonts w:ascii="Arial" w:hAnsi="Arial" w:cs="Arial"/>
                <w:color w:val="262626"/>
                <w:kern w:val="0"/>
                <w:sz w:val="24"/>
                <w:szCs w:val="24"/>
              </w:rPr>
            </w:pPr>
            <w:r>
              <w:rPr>
                <w:rFonts w:hint="eastAsia" w:ascii="Arial" w:hAnsi="Arial" w:cs="Arial"/>
                <w:color w:val="262626"/>
                <w:kern w:val="0"/>
                <w:sz w:val="24"/>
                <w:szCs w:val="24"/>
              </w:rPr>
              <w:t>甲方：深圳市龙华建设发展集团有限公司</w:t>
            </w:r>
          </w:p>
        </w:tc>
        <w:tc>
          <w:tcPr>
            <w:tcW w:w="5015" w:type="dxa"/>
          </w:tcPr>
          <w:p w14:paraId="3AE2E2EF">
            <w:pPr>
              <w:widowControl/>
              <w:autoSpaceDE w:val="0"/>
              <w:autoSpaceDN w:val="0"/>
              <w:adjustRightInd w:val="0"/>
              <w:spacing w:line="360" w:lineRule="auto"/>
              <w:jc w:val="left"/>
              <w:rPr>
                <w:rFonts w:ascii="Arial" w:hAnsi="Arial" w:cs="Arial"/>
                <w:color w:val="262626"/>
                <w:kern w:val="0"/>
              </w:rPr>
            </w:pPr>
            <w:r>
              <w:rPr>
                <w:rFonts w:hint="eastAsia" w:ascii="Arial" w:hAnsi="Arial" w:cs="Arial"/>
                <w:color w:val="262626"/>
                <w:kern w:val="0"/>
                <w:sz w:val="24"/>
                <w:szCs w:val="24"/>
              </w:rPr>
              <w:t>乙方：</w:t>
            </w:r>
          </w:p>
        </w:tc>
      </w:tr>
      <w:tr w14:paraId="1D25A276">
        <w:tblPrEx>
          <w:tblCellMar>
            <w:top w:w="0" w:type="dxa"/>
            <w:left w:w="108" w:type="dxa"/>
            <w:bottom w:w="0" w:type="dxa"/>
            <w:right w:w="108" w:type="dxa"/>
          </w:tblCellMar>
        </w:tblPrEx>
        <w:trPr>
          <w:trHeight w:val="828" w:hRule="atLeast"/>
        </w:trPr>
        <w:tc>
          <w:tcPr>
            <w:tcW w:w="4786" w:type="dxa"/>
          </w:tcPr>
          <w:p w14:paraId="0E24D56B">
            <w:pPr>
              <w:widowControl/>
              <w:autoSpaceDE w:val="0"/>
              <w:autoSpaceDN w:val="0"/>
              <w:adjustRightInd w:val="0"/>
              <w:spacing w:line="360" w:lineRule="auto"/>
              <w:jc w:val="left"/>
              <w:rPr>
                <w:rFonts w:ascii="Arial" w:hAnsi="Arial" w:cs="Arial"/>
                <w:color w:val="262626"/>
                <w:kern w:val="0"/>
                <w:sz w:val="24"/>
                <w:szCs w:val="24"/>
              </w:rPr>
            </w:pPr>
            <w:r>
              <w:rPr>
                <w:rFonts w:hint="eastAsia" w:ascii="Arial" w:hAnsi="Arial" w:cs="Arial"/>
                <w:color w:val="262626"/>
                <w:kern w:val="0"/>
                <w:sz w:val="24"/>
                <w:szCs w:val="24"/>
              </w:rPr>
              <w:t>授权代表：</w:t>
            </w:r>
          </w:p>
          <w:p w14:paraId="361C26F0">
            <w:pPr>
              <w:widowControl/>
              <w:autoSpaceDE w:val="0"/>
              <w:autoSpaceDN w:val="0"/>
              <w:adjustRightInd w:val="0"/>
              <w:spacing w:line="360" w:lineRule="auto"/>
              <w:jc w:val="left"/>
              <w:rPr>
                <w:rFonts w:ascii="Arial" w:hAnsi="Arial" w:cs="Arial"/>
                <w:color w:val="262626"/>
                <w:kern w:val="0"/>
                <w:sz w:val="24"/>
                <w:szCs w:val="24"/>
              </w:rPr>
            </w:pPr>
            <w:r>
              <w:rPr>
                <w:rFonts w:hint="eastAsia" w:ascii="Arial" w:hAnsi="Arial" w:cs="Arial"/>
                <w:color w:val="262626"/>
                <w:kern w:val="0"/>
                <w:sz w:val="24"/>
                <w:szCs w:val="24"/>
              </w:rPr>
              <w:t>（签章）</w:t>
            </w:r>
          </w:p>
        </w:tc>
        <w:tc>
          <w:tcPr>
            <w:tcW w:w="5015" w:type="dxa"/>
          </w:tcPr>
          <w:p w14:paraId="710EA073">
            <w:pPr>
              <w:widowControl/>
              <w:autoSpaceDE w:val="0"/>
              <w:autoSpaceDN w:val="0"/>
              <w:adjustRightInd w:val="0"/>
              <w:spacing w:line="360" w:lineRule="auto"/>
              <w:jc w:val="left"/>
              <w:rPr>
                <w:rFonts w:ascii="Arial" w:hAnsi="Arial" w:cs="Arial"/>
                <w:color w:val="262626"/>
                <w:kern w:val="0"/>
                <w:sz w:val="24"/>
                <w:szCs w:val="24"/>
              </w:rPr>
            </w:pPr>
            <w:r>
              <w:rPr>
                <w:rFonts w:hint="eastAsia" w:ascii="Arial" w:hAnsi="Arial" w:cs="Arial"/>
                <w:color w:val="262626"/>
                <w:kern w:val="0"/>
                <w:sz w:val="24"/>
                <w:szCs w:val="24"/>
              </w:rPr>
              <w:t>授权代表或合伙人：</w:t>
            </w:r>
          </w:p>
          <w:p w14:paraId="592E3EC2">
            <w:pPr>
              <w:widowControl/>
              <w:autoSpaceDE w:val="0"/>
              <w:autoSpaceDN w:val="0"/>
              <w:adjustRightInd w:val="0"/>
              <w:spacing w:line="360" w:lineRule="auto"/>
              <w:jc w:val="left"/>
              <w:rPr>
                <w:rFonts w:ascii="Arial" w:hAnsi="Arial" w:cs="Arial"/>
                <w:color w:val="262626"/>
                <w:kern w:val="0"/>
                <w:sz w:val="24"/>
                <w:szCs w:val="24"/>
              </w:rPr>
            </w:pPr>
            <w:r>
              <w:rPr>
                <w:rFonts w:hint="eastAsia" w:ascii="Arial" w:hAnsi="Arial" w:cs="Arial"/>
                <w:color w:val="262626"/>
                <w:kern w:val="0"/>
                <w:sz w:val="24"/>
                <w:szCs w:val="24"/>
              </w:rPr>
              <w:t>（签章）</w:t>
            </w:r>
          </w:p>
          <w:p w14:paraId="5E2A705E">
            <w:pPr>
              <w:widowControl/>
              <w:autoSpaceDE w:val="0"/>
              <w:autoSpaceDN w:val="0"/>
              <w:adjustRightInd w:val="0"/>
              <w:spacing w:line="360" w:lineRule="auto"/>
              <w:jc w:val="left"/>
              <w:rPr>
                <w:rFonts w:ascii="Arial" w:hAnsi="Arial" w:cs="Arial"/>
                <w:color w:val="262626"/>
                <w:kern w:val="0"/>
                <w:sz w:val="24"/>
                <w:szCs w:val="24"/>
              </w:rPr>
            </w:pPr>
          </w:p>
        </w:tc>
      </w:tr>
      <w:tr w14:paraId="73445A3B">
        <w:tblPrEx>
          <w:tblCellMar>
            <w:top w:w="0" w:type="dxa"/>
            <w:left w:w="108" w:type="dxa"/>
            <w:bottom w:w="0" w:type="dxa"/>
            <w:right w:w="108" w:type="dxa"/>
          </w:tblCellMar>
        </w:tblPrEx>
        <w:trPr>
          <w:trHeight w:val="828" w:hRule="atLeast"/>
        </w:trPr>
        <w:tc>
          <w:tcPr>
            <w:tcW w:w="4786" w:type="dxa"/>
          </w:tcPr>
          <w:p w14:paraId="47D65A50">
            <w:pPr>
              <w:widowControl/>
              <w:autoSpaceDE w:val="0"/>
              <w:autoSpaceDN w:val="0"/>
              <w:adjustRightInd w:val="0"/>
              <w:spacing w:line="360" w:lineRule="auto"/>
              <w:jc w:val="left"/>
              <w:rPr>
                <w:rFonts w:ascii="Arial" w:hAnsi="Arial" w:cs="Arial"/>
                <w:color w:val="262626"/>
                <w:kern w:val="0"/>
                <w:sz w:val="24"/>
                <w:szCs w:val="24"/>
              </w:rPr>
            </w:pPr>
            <w:r>
              <w:rPr>
                <w:rFonts w:hint="eastAsia" w:ascii="Arial" w:hAnsi="Arial" w:cs="Arial"/>
                <w:color w:val="262626"/>
                <w:kern w:val="0"/>
                <w:sz w:val="24"/>
                <w:szCs w:val="24"/>
              </w:rPr>
              <w:t>联系人：</w:t>
            </w:r>
          </w:p>
        </w:tc>
        <w:tc>
          <w:tcPr>
            <w:tcW w:w="5015" w:type="dxa"/>
          </w:tcPr>
          <w:p w14:paraId="055399EA">
            <w:pPr>
              <w:widowControl/>
              <w:autoSpaceDE w:val="0"/>
              <w:autoSpaceDN w:val="0"/>
              <w:adjustRightInd w:val="0"/>
              <w:spacing w:line="360" w:lineRule="auto"/>
              <w:jc w:val="left"/>
              <w:rPr>
                <w:rFonts w:hint="eastAsia" w:ascii="Arial" w:hAnsi="Arial" w:eastAsia="宋体" w:cs="Arial"/>
                <w:color w:val="262626"/>
                <w:kern w:val="0"/>
                <w:sz w:val="24"/>
                <w:szCs w:val="24"/>
                <w:lang w:eastAsia="zh-CN"/>
              </w:rPr>
            </w:pPr>
            <w:r>
              <w:rPr>
                <w:rFonts w:hint="eastAsia" w:ascii="Arial" w:hAnsi="Arial" w:cs="Arial"/>
                <w:color w:val="262626"/>
                <w:kern w:val="0"/>
                <w:sz w:val="24"/>
                <w:szCs w:val="24"/>
              </w:rPr>
              <w:t>联系人：</w:t>
            </w:r>
            <w:r>
              <w:rPr>
                <w:rFonts w:hint="eastAsia" w:ascii="Arial" w:hAnsi="Arial" w:cs="Arial"/>
                <w:color w:val="262626"/>
                <w:kern w:val="0"/>
                <w:sz w:val="24"/>
                <w:szCs w:val="24"/>
                <w:lang w:val="en-US" w:eastAsia="zh-CN"/>
              </w:rPr>
              <w:t xml:space="preserve"> </w:t>
            </w:r>
          </w:p>
        </w:tc>
      </w:tr>
      <w:tr w14:paraId="2E9AFD0D">
        <w:tblPrEx>
          <w:tblCellMar>
            <w:top w:w="0" w:type="dxa"/>
            <w:left w:w="108" w:type="dxa"/>
            <w:bottom w:w="0" w:type="dxa"/>
            <w:right w:w="108" w:type="dxa"/>
          </w:tblCellMar>
        </w:tblPrEx>
        <w:trPr>
          <w:trHeight w:val="828" w:hRule="atLeast"/>
        </w:trPr>
        <w:tc>
          <w:tcPr>
            <w:tcW w:w="4786" w:type="dxa"/>
          </w:tcPr>
          <w:p w14:paraId="20467A6D">
            <w:pPr>
              <w:widowControl/>
              <w:autoSpaceDE w:val="0"/>
              <w:autoSpaceDN w:val="0"/>
              <w:adjustRightInd w:val="0"/>
              <w:spacing w:line="360" w:lineRule="auto"/>
              <w:jc w:val="left"/>
              <w:rPr>
                <w:rFonts w:ascii="Arial" w:hAnsi="Arial" w:cs="Arial"/>
                <w:color w:val="262626"/>
                <w:kern w:val="0"/>
                <w:sz w:val="24"/>
                <w:szCs w:val="24"/>
              </w:rPr>
            </w:pPr>
            <w:r>
              <w:rPr>
                <w:rFonts w:hint="eastAsia" w:ascii="Arial" w:hAnsi="Arial" w:cs="Arial"/>
                <w:color w:val="262626"/>
                <w:kern w:val="0"/>
                <w:sz w:val="24"/>
                <w:szCs w:val="24"/>
              </w:rPr>
              <w:t>联系电话：</w:t>
            </w:r>
          </w:p>
        </w:tc>
        <w:tc>
          <w:tcPr>
            <w:tcW w:w="5015" w:type="dxa"/>
          </w:tcPr>
          <w:p w14:paraId="4AD37E24">
            <w:pPr>
              <w:widowControl/>
              <w:autoSpaceDE w:val="0"/>
              <w:autoSpaceDN w:val="0"/>
              <w:adjustRightInd w:val="0"/>
              <w:spacing w:line="360" w:lineRule="auto"/>
              <w:jc w:val="left"/>
              <w:rPr>
                <w:rFonts w:hint="eastAsia" w:ascii="Arial" w:hAnsi="Arial" w:eastAsia="宋体" w:cs="Arial"/>
                <w:color w:val="262626"/>
                <w:kern w:val="0"/>
                <w:sz w:val="24"/>
                <w:szCs w:val="24"/>
                <w:lang w:eastAsia="zh-CN"/>
              </w:rPr>
            </w:pPr>
            <w:r>
              <w:rPr>
                <w:rFonts w:hint="eastAsia" w:ascii="Arial" w:hAnsi="Arial" w:cs="Arial"/>
                <w:color w:val="262626"/>
                <w:kern w:val="0"/>
                <w:sz w:val="24"/>
                <w:szCs w:val="24"/>
              </w:rPr>
              <w:t>联系电话：</w:t>
            </w:r>
            <w:r>
              <w:rPr>
                <w:rFonts w:hint="eastAsia" w:ascii="Arial" w:hAnsi="Arial" w:cs="Arial"/>
                <w:color w:val="262626"/>
                <w:kern w:val="0"/>
                <w:sz w:val="24"/>
                <w:szCs w:val="24"/>
                <w:lang w:val="en-US" w:eastAsia="zh-CN"/>
              </w:rPr>
              <w:t xml:space="preserve"> </w:t>
            </w:r>
          </w:p>
        </w:tc>
      </w:tr>
      <w:tr w14:paraId="127006E7">
        <w:tblPrEx>
          <w:tblCellMar>
            <w:top w:w="0" w:type="dxa"/>
            <w:left w:w="108" w:type="dxa"/>
            <w:bottom w:w="0" w:type="dxa"/>
            <w:right w:w="108" w:type="dxa"/>
          </w:tblCellMar>
        </w:tblPrEx>
        <w:trPr>
          <w:trHeight w:val="699" w:hRule="atLeast"/>
        </w:trPr>
        <w:tc>
          <w:tcPr>
            <w:tcW w:w="4786" w:type="dxa"/>
            <w:vAlign w:val="center"/>
          </w:tcPr>
          <w:p w14:paraId="0AEAAAA0">
            <w:pPr>
              <w:widowControl/>
              <w:autoSpaceDE w:val="0"/>
              <w:autoSpaceDN w:val="0"/>
              <w:adjustRightInd w:val="0"/>
              <w:spacing w:line="360" w:lineRule="auto"/>
              <w:jc w:val="left"/>
              <w:rPr>
                <w:rFonts w:ascii="Arial" w:hAnsi="Arial" w:cs="Arial"/>
                <w:color w:val="262626"/>
                <w:kern w:val="0"/>
                <w:sz w:val="24"/>
                <w:szCs w:val="24"/>
              </w:rPr>
            </w:pPr>
            <w:r>
              <w:rPr>
                <w:rFonts w:hint="eastAsia" w:ascii="Arial" w:hAnsi="Arial" w:cs="Arial"/>
                <w:color w:val="262626"/>
                <w:kern w:val="0"/>
                <w:sz w:val="24"/>
                <w:szCs w:val="24"/>
              </w:rPr>
              <w:t>2025年    月    日</w:t>
            </w:r>
          </w:p>
        </w:tc>
        <w:tc>
          <w:tcPr>
            <w:tcW w:w="5015" w:type="dxa"/>
            <w:vAlign w:val="center"/>
          </w:tcPr>
          <w:p w14:paraId="67A079DD">
            <w:pPr>
              <w:widowControl/>
              <w:autoSpaceDE w:val="0"/>
              <w:autoSpaceDN w:val="0"/>
              <w:adjustRightInd w:val="0"/>
              <w:spacing w:line="360" w:lineRule="auto"/>
              <w:jc w:val="left"/>
              <w:rPr>
                <w:rFonts w:ascii="Arial" w:hAnsi="Arial" w:cs="Arial"/>
                <w:color w:val="262626"/>
                <w:kern w:val="0"/>
                <w:sz w:val="24"/>
                <w:szCs w:val="24"/>
              </w:rPr>
            </w:pPr>
            <w:r>
              <w:rPr>
                <w:rFonts w:hint="eastAsia" w:ascii="Arial" w:hAnsi="Arial" w:cs="Arial"/>
                <w:color w:val="262626"/>
                <w:kern w:val="0"/>
                <w:sz w:val="24"/>
                <w:szCs w:val="24"/>
              </w:rPr>
              <w:t>2025年    月    日</w:t>
            </w:r>
          </w:p>
        </w:tc>
      </w:tr>
    </w:tbl>
    <w:p w14:paraId="6EC589CE">
      <w:pPr>
        <w:spacing w:line="480" w:lineRule="exact"/>
        <w:ind w:firstLine="420"/>
        <w:rPr>
          <w:rFonts w:hint="eastAsia" w:ascii="宋体" w:hAnsi="宋体"/>
          <w:sz w:val="24"/>
          <w:szCs w:val="24"/>
        </w:rPr>
      </w:pPr>
    </w:p>
    <w:sectPr>
      <w:footerReference r:id="rId3" w:type="default"/>
      <w:pgSz w:w="11906" w:h="16838"/>
      <w:pgMar w:top="1474" w:right="1304" w:bottom="1474" w:left="1304" w:header="851" w:footer="516"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Symbol">
    <w:panose1 w:val="05050102010706020507"/>
    <w:charset w:val="00"/>
    <w:family w:val="auto"/>
    <w:pitch w:val="default"/>
    <w:sig w:usb0="00000000" w:usb1="00000000" w:usb2="00000000" w:usb3="00000000" w:csb0="80000000" w:csb1="00000000"/>
  </w:font>
  <w:font w:name="Segoe UI">
    <w:panose1 w:val="020B0502040204020203"/>
    <w:charset w:val="00"/>
    <w:family w:val="auto"/>
    <w:pitch w:val="default"/>
    <w:sig w:usb0="E4002EFF" w:usb1="C000E47F"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FD94DE">
    <w:pPr>
      <w:pStyle w:val="3"/>
      <w:jc w:val="center"/>
    </w:pPr>
    <w:r>
      <w:fldChar w:fldCharType="begin"/>
    </w:r>
    <w:r>
      <w:instrText xml:space="preserve"> PAGE   \* MERGEFORMAT </w:instrText>
    </w:r>
    <w:r>
      <w:fldChar w:fldCharType="separate"/>
    </w:r>
    <w:r>
      <w:rPr>
        <w:lang w:val="zh-CN"/>
      </w:rPr>
      <w:t>5</w:t>
    </w:r>
    <w:r>
      <w:rPr>
        <w:lang w:val="zh-CN"/>
      </w:rPr>
      <w:fldChar w:fldCharType="end"/>
    </w:r>
  </w:p>
  <w:p w14:paraId="4944BD8C">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410E"/>
    <w:rsid w:val="00027A77"/>
    <w:rsid w:val="0003578D"/>
    <w:rsid w:val="00066104"/>
    <w:rsid w:val="00074516"/>
    <w:rsid w:val="000A547E"/>
    <w:rsid w:val="000B3398"/>
    <w:rsid w:val="000D06D6"/>
    <w:rsid w:val="000D6B52"/>
    <w:rsid w:val="001231A3"/>
    <w:rsid w:val="00134F7F"/>
    <w:rsid w:val="00135070"/>
    <w:rsid w:val="0016246B"/>
    <w:rsid w:val="001A1380"/>
    <w:rsid w:val="001F0974"/>
    <w:rsid w:val="00216D6A"/>
    <w:rsid w:val="00217265"/>
    <w:rsid w:val="00222512"/>
    <w:rsid w:val="00224119"/>
    <w:rsid w:val="002721EB"/>
    <w:rsid w:val="00291633"/>
    <w:rsid w:val="0029520D"/>
    <w:rsid w:val="002952CB"/>
    <w:rsid w:val="002B4B7F"/>
    <w:rsid w:val="002C48E7"/>
    <w:rsid w:val="002E34A7"/>
    <w:rsid w:val="002E74CC"/>
    <w:rsid w:val="002F46F7"/>
    <w:rsid w:val="0032593B"/>
    <w:rsid w:val="003304D4"/>
    <w:rsid w:val="0033444F"/>
    <w:rsid w:val="00337419"/>
    <w:rsid w:val="0034289E"/>
    <w:rsid w:val="00350E96"/>
    <w:rsid w:val="003559BF"/>
    <w:rsid w:val="003602BE"/>
    <w:rsid w:val="00363E3D"/>
    <w:rsid w:val="003843AA"/>
    <w:rsid w:val="003D38F6"/>
    <w:rsid w:val="003F32E0"/>
    <w:rsid w:val="0041444F"/>
    <w:rsid w:val="0042011F"/>
    <w:rsid w:val="0042410E"/>
    <w:rsid w:val="00431012"/>
    <w:rsid w:val="004547D0"/>
    <w:rsid w:val="004867D0"/>
    <w:rsid w:val="0049392C"/>
    <w:rsid w:val="004A19A9"/>
    <w:rsid w:val="004C6A22"/>
    <w:rsid w:val="004D1D0D"/>
    <w:rsid w:val="004D4DA7"/>
    <w:rsid w:val="004D5920"/>
    <w:rsid w:val="004E7014"/>
    <w:rsid w:val="00511FA5"/>
    <w:rsid w:val="00535310"/>
    <w:rsid w:val="00567BF1"/>
    <w:rsid w:val="0057276C"/>
    <w:rsid w:val="00573FBB"/>
    <w:rsid w:val="00582A70"/>
    <w:rsid w:val="0059109C"/>
    <w:rsid w:val="00594690"/>
    <w:rsid w:val="005978A8"/>
    <w:rsid w:val="005F185F"/>
    <w:rsid w:val="00612CD6"/>
    <w:rsid w:val="00626D75"/>
    <w:rsid w:val="006306D5"/>
    <w:rsid w:val="00641198"/>
    <w:rsid w:val="00650BC3"/>
    <w:rsid w:val="00666843"/>
    <w:rsid w:val="00683337"/>
    <w:rsid w:val="006A3B84"/>
    <w:rsid w:val="006B1EF2"/>
    <w:rsid w:val="006C402E"/>
    <w:rsid w:val="006E0A9D"/>
    <w:rsid w:val="006F53C1"/>
    <w:rsid w:val="00705BD9"/>
    <w:rsid w:val="007072BB"/>
    <w:rsid w:val="007150B5"/>
    <w:rsid w:val="0073010C"/>
    <w:rsid w:val="00742265"/>
    <w:rsid w:val="007608D0"/>
    <w:rsid w:val="00766485"/>
    <w:rsid w:val="0076729A"/>
    <w:rsid w:val="007971E2"/>
    <w:rsid w:val="007A354B"/>
    <w:rsid w:val="007C1367"/>
    <w:rsid w:val="007D04FA"/>
    <w:rsid w:val="007E386A"/>
    <w:rsid w:val="007E5F2A"/>
    <w:rsid w:val="008436F8"/>
    <w:rsid w:val="00846735"/>
    <w:rsid w:val="0085746D"/>
    <w:rsid w:val="008632F2"/>
    <w:rsid w:val="00866B0A"/>
    <w:rsid w:val="008677E2"/>
    <w:rsid w:val="00886AF6"/>
    <w:rsid w:val="008E45C8"/>
    <w:rsid w:val="008F49B5"/>
    <w:rsid w:val="00905525"/>
    <w:rsid w:val="00906952"/>
    <w:rsid w:val="00914461"/>
    <w:rsid w:val="0096345F"/>
    <w:rsid w:val="00972F57"/>
    <w:rsid w:val="00973D8F"/>
    <w:rsid w:val="00985EE6"/>
    <w:rsid w:val="009C0E1D"/>
    <w:rsid w:val="009D0B46"/>
    <w:rsid w:val="00A35FAC"/>
    <w:rsid w:val="00A562DC"/>
    <w:rsid w:val="00A80FB7"/>
    <w:rsid w:val="00A83B45"/>
    <w:rsid w:val="00A86DE8"/>
    <w:rsid w:val="00AE42E3"/>
    <w:rsid w:val="00AF3280"/>
    <w:rsid w:val="00AF730A"/>
    <w:rsid w:val="00B14F99"/>
    <w:rsid w:val="00B230EA"/>
    <w:rsid w:val="00B41D59"/>
    <w:rsid w:val="00B5686B"/>
    <w:rsid w:val="00B615B7"/>
    <w:rsid w:val="00B66C7A"/>
    <w:rsid w:val="00BA2FEB"/>
    <w:rsid w:val="00BA5873"/>
    <w:rsid w:val="00BC5112"/>
    <w:rsid w:val="00BD34ED"/>
    <w:rsid w:val="00BF0836"/>
    <w:rsid w:val="00BF1AAF"/>
    <w:rsid w:val="00C120EB"/>
    <w:rsid w:val="00C12AAF"/>
    <w:rsid w:val="00C555B4"/>
    <w:rsid w:val="00C82084"/>
    <w:rsid w:val="00CA21B0"/>
    <w:rsid w:val="00CB2FCF"/>
    <w:rsid w:val="00CD297C"/>
    <w:rsid w:val="00CE0D56"/>
    <w:rsid w:val="00CE4728"/>
    <w:rsid w:val="00CF3E28"/>
    <w:rsid w:val="00D17026"/>
    <w:rsid w:val="00D242AB"/>
    <w:rsid w:val="00D30506"/>
    <w:rsid w:val="00D32576"/>
    <w:rsid w:val="00D33B74"/>
    <w:rsid w:val="00D43DC9"/>
    <w:rsid w:val="00D51CD1"/>
    <w:rsid w:val="00D939CD"/>
    <w:rsid w:val="00DB09EF"/>
    <w:rsid w:val="00DD2195"/>
    <w:rsid w:val="00DD4B7F"/>
    <w:rsid w:val="00DE2E7D"/>
    <w:rsid w:val="00E33434"/>
    <w:rsid w:val="00E535A8"/>
    <w:rsid w:val="00E60EFA"/>
    <w:rsid w:val="00E708DB"/>
    <w:rsid w:val="00EA50F3"/>
    <w:rsid w:val="00ED0E35"/>
    <w:rsid w:val="00ED2294"/>
    <w:rsid w:val="00EF5589"/>
    <w:rsid w:val="00EF7845"/>
    <w:rsid w:val="00F23151"/>
    <w:rsid w:val="00F45EEB"/>
    <w:rsid w:val="00F474F9"/>
    <w:rsid w:val="00F47686"/>
    <w:rsid w:val="00F52733"/>
    <w:rsid w:val="00F63D80"/>
    <w:rsid w:val="00F97C02"/>
    <w:rsid w:val="00FA153E"/>
    <w:rsid w:val="00FA5BB4"/>
    <w:rsid w:val="00FE3157"/>
    <w:rsid w:val="10354C54"/>
    <w:rsid w:val="16D07355"/>
    <w:rsid w:val="176159E4"/>
    <w:rsid w:val="2786106A"/>
    <w:rsid w:val="2D1C08DE"/>
    <w:rsid w:val="2EB8020F"/>
    <w:rsid w:val="337D625D"/>
    <w:rsid w:val="35A0117C"/>
    <w:rsid w:val="39AE31FE"/>
    <w:rsid w:val="40270361"/>
    <w:rsid w:val="4DB81958"/>
    <w:rsid w:val="57FD6620"/>
    <w:rsid w:val="5B1013F6"/>
    <w:rsid w:val="699875DB"/>
    <w:rsid w:val="6A8E59D9"/>
    <w:rsid w:val="7390214B"/>
    <w:rsid w:val="73BE00B8"/>
    <w:rsid w:val="7E317F0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9"/>
    <w:uiPriority w:val="99"/>
    <w:pPr>
      <w:tabs>
        <w:tab w:val="center" w:pos="4153"/>
        <w:tab w:val="right" w:pos="8306"/>
      </w:tabs>
      <w:snapToGrid w:val="0"/>
      <w:jc w:val="left"/>
    </w:pPr>
    <w:rPr>
      <w:sz w:val="18"/>
      <w:szCs w:val="18"/>
    </w:rPr>
  </w:style>
  <w:style w:type="paragraph" w:styleId="4">
    <w:name w:val="header"/>
    <w:basedOn w:val="1"/>
    <w:link w:val="8"/>
    <w:semiHidden/>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列出段落1"/>
    <w:basedOn w:val="1"/>
    <w:qFormat/>
    <w:uiPriority w:val="99"/>
    <w:pPr>
      <w:ind w:firstLine="420" w:firstLineChars="200"/>
    </w:pPr>
  </w:style>
  <w:style w:type="character" w:customStyle="1" w:styleId="8">
    <w:name w:val="页眉 字符"/>
    <w:link w:val="4"/>
    <w:semiHidden/>
    <w:qFormat/>
    <w:locked/>
    <w:uiPriority w:val="99"/>
    <w:rPr>
      <w:rFonts w:cs="Times New Roman"/>
      <w:sz w:val="18"/>
      <w:szCs w:val="18"/>
    </w:rPr>
  </w:style>
  <w:style w:type="character" w:customStyle="1" w:styleId="9">
    <w:name w:val="页脚 字符"/>
    <w:link w:val="3"/>
    <w:qFormat/>
    <w:locked/>
    <w:uiPriority w:val="99"/>
    <w:rPr>
      <w:rFonts w:cs="Times New Roman"/>
      <w:sz w:val="18"/>
      <w:szCs w:val="18"/>
    </w:rPr>
  </w:style>
  <w:style w:type="character" w:customStyle="1" w:styleId="10">
    <w:name w:val="批注框文本 字符"/>
    <w:link w:val="2"/>
    <w:semiHidden/>
    <w:qFormat/>
    <w:uiPriority w:val="99"/>
    <w:rPr>
      <w:kern w:val="2"/>
      <w:sz w:val="18"/>
      <w:szCs w:val="18"/>
    </w:rPr>
  </w:style>
  <w:style w:type="character" w:customStyle="1" w:styleId="11">
    <w:name w:val="apple-converted-space"/>
    <w:qFormat/>
    <w:uiPriority w:val="0"/>
  </w:style>
  <w:style w:type="paragraph" w:customStyle="1" w:styleId="12">
    <w:name w:val="Revision"/>
    <w:hidden/>
    <w:unhideWhenUsed/>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1410</Words>
  <Characters>1427</Characters>
  <Lines>12</Lines>
  <Paragraphs>3</Paragraphs>
  <TotalTime>1</TotalTime>
  <ScaleCrop>false</ScaleCrop>
  <LinksUpToDate>false</LinksUpToDate>
  <CharactersWithSpaces>1487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2013-08-30T08:46:00Z</dcterms:created>
  <dc:creator>wangjun</dc:creator>
  <cp:lastModifiedBy>Peterson。</cp:lastModifiedBy>
  <dcterms:modified xsi:type="dcterms:W3CDTF">2025-05-15T07:17:04Z</dcterms:modified>
  <cp:revision>109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eyJoZGlkIjoiOGRmNzE3NGQxMzBkYTVkZDcwNjllNjUxYzYxNmM1MzMiLCJ1c2VySWQiOiIyMTI1MzEyMTMifQ==</vt:lpwstr>
  </property>
  <property fmtid="{D5CDD505-2E9C-101B-9397-08002B2CF9AE}" pid="4" name="ICV">
    <vt:lpwstr>418BC90A335B4279871D41BC124361EC_12</vt:lpwstr>
  </property>
</Properties>
</file>