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C9291B">
      <w:pPr>
        <w:autoSpaceDE/>
        <w:autoSpaceDN/>
        <w:adjustRightInd/>
        <w:snapToGrid/>
        <w:rPr>
          <w:rFonts w:hint="eastAsia"/>
          <w:b/>
          <w:bCs w:val="0"/>
          <w:sz w:val="28"/>
          <w:szCs w:val="28"/>
        </w:rPr>
      </w:pPr>
      <w:bookmarkStart w:id="0" w:name="_Toc14347"/>
      <w:r>
        <w:rPr>
          <w:rFonts w:hint="eastAsia"/>
          <w:b/>
          <w:bCs w:val="0"/>
          <w:sz w:val="28"/>
          <w:szCs w:val="28"/>
        </w:rPr>
        <w:t>附件2</w:t>
      </w:r>
    </w:p>
    <w:p w14:paraId="45FA5933">
      <w:pPr>
        <w:autoSpaceDE/>
        <w:autoSpaceDN/>
        <w:spacing w:line="360" w:lineRule="auto"/>
        <w:jc w:val="center"/>
        <w:rPr>
          <w:rFonts w:hint="eastAsia"/>
          <w:b/>
          <w:bCs w:val="0"/>
          <w:sz w:val="28"/>
          <w:szCs w:val="28"/>
        </w:rPr>
      </w:pPr>
      <w:r>
        <w:rPr>
          <w:rFonts w:hint="eastAsia"/>
          <w:b/>
          <w:bCs w:val="0"/>
          <w:sz w:val="28"/>
          <w:szCs w:val="28"/>
        </w:rPr>
        <w:t>投标报价一览表</w:t>
      </w:r>
    </w:p>
    <w:p w14:paraId="14C0EF95">
      <w:pPr>
        <w:pStyle w:val="10"/>
        <w:spacing w:line="560" w:lineRule="exact"/>
        <w:rPr>
          <w:u w:val="single"/>
        </w:rPr>
      </w:pPr>
      <w:r>
        <w:rPr>
          <w:rFonts w:hint="eastAsia"/>
        </w:rPr>
        <w:t>致招标人:</w:t>
      </w:r>
      <w:r>
        <w:rPr>
          <w:rFonts w:hint="eastAsia"/>
          <w:u w:val="single"/>
        </w:rPr>
        <w:t>深圳市龙祺商业运营管理有限公司美憬阁酒店分公司</w:t>
      </w:r>
    </w:p>
    <w:p w14:paraId="5D0018BB">
      <w:pPr>
        <w:pStyle w:val="10"/>
        <w:spacing w:line="560" w:lineRule="exact"/>
        <w:ind w:firstLine="480" w:firstLineChars="200"/>
      </w:pPr>
      <w:r>
        <w:rPr>
          <w:rFonts w:hint="eastAsia"/>
        </w:rPr>
        <w:t>经分析研究招标人提供的本次公告内容，本投标人就</w:t>
      </w:r>
      <w:r>
        <w:rPr>
          <w:rFonts w:hint="eastAsia"/>
          <w:u w:val="single"/>
        </w:rPr>
        <w:t xml:space="preserve"> </w:t>
      </w:r>
      <w:r>
        <w:rPr>
          <w:rFonts w:hint="eastAsia"/>
          <w:u w:val="single"/>
          <w:lang w:val="en-US" w:eastAsia="zh-CN"/>
        </w:rPr>
        <w:t>深圳时尚小镇美憬阁精选酒店2025年餐饮帮工公司</w:t>
      </w:r>
      <w:r>
        <w:rPr>
          <w:rFonts w:hint="eastAsia"/>
          <w:u w:val="single"/>
        </w:rPr>
        <w:t>服务</w:t>
      </w:r>
      <w:r>
        <w:rPr>
          <w:rFonts w:hint="eastAsia"/>
        </w:rPr>
        <w:t>的报价见下表所列：</w:t>
      </w:r>
    </w:p>
    <w:tbl>
      <w:tblPr>
        <w:tblStyle w:val="13"/>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2104"/>
        <w:gridCol w:w="1673"/>
        <w:gridCol w:w="1850"/>
        <w:gridCol w:w="3842"/>
      </w:tblGrid>
      <w:tr w14:paraId="0856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2" w:hRule="atLeast"/>
          <w:jc w:val="center"/>
        </w:trPr>
        <w:tc>
          <w:tcPr>
            <w:tcW w:w="518" w:type="dxa"/>
            <w:shd w:val="clear" w:color="auto" w:fill="auto"/>
            <w:vAlign w:val="center"/>
          </w:tcPr>
          <w:p w14:paraId="77B73CEB">
            <w:pPr>
              <w:jc w:val="center"/>
              <w:rPr>
                <w:rFonts w:hint="eastAsia"/>
              </w:rPr>
            </w:pPr>
            <w:r>
              <w:rPr>
                <w:rFonts w:hint="eastAsia"/>
              </w:rPr>
              <w:t>序号</w:t>
            </w:r>
          </w:p>
        </w:tc>
        <w:tc>
          <w:tcPr>
            <w:tcW w:w="2104" w:type="dxa"/>
            <w:shd w:val="clear" w:color="auto" w:fill="auto"/>
            <w:vAlign w:val="center"/>
          </w:tcPr>
          <w:p w14:paraId="6271551F">
            <w:pPr>
              <w:jc w:val="center"/>
              <w:rPr>
                <w:rFonts w:hint="eastAsia"/>
              </w:rPr>
            </w:pPr>
            <w:r>
              <w:rPr>
                <w:rFonts w:hint="eastAsia"/>
              </w:rPr>
              <w:t>项目</w:t>
            </w:r>
          </w:p>
          <w:p w14:paraId="6BA0102C">
            <w:pPr>
              <w:jc w:val="center"/>
              <w:rPr>
                <w:rFonts w:hint="eastAsia"/>
              </w:rPr>
            </w:pPr>
            <w:r>
              <w:rPr>
                <w:rFonts w:hint="eastAsia"/>
              </w:rPr>
              <w:t>名称</w:t>
            </w:r>
          </w:p>
        </w:tc>
        <w:tc>
          <w:tcPr>
            <w:tcW w:w="1673" w:type="dxa"/>
            <w:shd w:val="clear" w:color="auto" w:fill="auto"/>
            <w:vAlign w:val="center"/>
          </w:tcPr>
          <w:p w14:paraId="69E8AD7D">
            <w:pPr>
              <w:jc w:val="center"/>
              <w:rPr>
                <w:rFonts w:hint="eastAsia"/>
              </w:rPr>
            </w:pPr>
            <w:r>
              <w:rPr>
                <w:rFonts w:hint="eastAsia"/>
                <w:lang w:val="en-US" w:eastAsia="zh-CN"/>
              </w:rPr>
              <w:t>投标上限含税总</w:t>
            </w:r>
            <w:r>
              <w:rPr>
                <w:rFonts w:hint="eastAsia"/>
              </w:rPr>
              <w:t>价</w:t>
            </w:r>
          </w:p>
          <w:p w14:paraId="433913EB">
            <w:pPr>
              <w:jc w:val="center"/>
              <w:rPr>
                <w:rFonts w:hint="eastAsia"/>
              </w:rPr>
            </w:pPr>
            <w:r>
              <w:rPr>
                <w:rFonts w:hint="eastAsia"/>
              </w:rPr>
              <w:t>（人民币/元）</w:t>
            </w:r>
          </w:p>
        </w:tc>
        <w:tc>
          <w:tcPr>
            <w:tcW w:w="1850" w:type="dxa"/>
            <w:shd w:val="clear" w:color="auto" w:fill="auto"/>
            <w:vAlign w:val="center"/>
          </w:tcPr>
          <w:p w14:paraId="063EEC00">
            <w:pPr>
              <w:jc w:val="center"/>
              <w:rPr>
                <w:rFonts w:hint="default" w:eastAsia="仿宋"/>
                <w:lang w:val="en-US" w:eastAsia="zh-CN"/>
              </w:rPr>
            </w:pPr>
            <w:r>
              <w:rPr>
                <w:rFonts w:hint="eastAsia"/>
              </w:rPr>
              <w:t>投标报价</w:t>
            </w:r>
            <w:r>
              <w:rPr>
                <w:rFonts w:hint="eastAsia"/>
                <w:lang w:val="en-US" w:eastAsia="zh-CN"/>
              </w:rPr>
              <w:t>含税总价</w:t>
            </w:r>
          </w:p>
          <w:p w14:paraId="1025720E">
            <w:pPr>
              <w:jc w:val="center"/>
              <w:rPr>
                <w:rFonts w:hint="eastAsia"/>
              </w:rPr>
            </w:pPr>
            <w:r>
              <w:rPr>
                <w:rFonts w:hint="eastAsia"/>
              </w:rPr>
              <w:t>（人民币/元）</w:t>
            </w:r>
          </w:p>
        </w:tc>
        <w:tc>
          <w:tcPr>
            <w:tcW w:w="3842" w:type="dxa"/>
            <w:shd w:val="clear" w:color="auto" w:fill="auto"/>
            <w:vAlign w:val="center"/>
          </w:tcPr>
          <w:p w14:paraId="4AFD3B1D">
            <w:pPr>
              <w:jc w:val="center"/>
              <w:rPr>
                <w:rFonts w:hint="eastAsia"/>
              </w:rPr>
            </w:pPr>
            <w:r>
              <w:rPr>
                <w:rFonts w:hint="eastAsia"/>
              </w:rPr>
              <w:t>备注</w:t>
            </w:r>
          </w:p>
        </w:tc>
      </w:tr>
      <w:tr w14:paraId="5A97A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jc w:val="center"/>
        </w:trPr>
        <w:tc>
          <w:tcPr>
            <w:tcW w:w="518" w:type="dxa"/>
            <w:vAlign w:val="center"/>
          </w:tcPr>
          <w:p w14:paraId="61DE16BE">
            <w:pPr>
              <w:jc w:val="center"/>
              <w:rPr>
                <w:rFonts w:hint="eastAsia"/>
              </w:rPr>
            </w:pPr>
            <w:r>
              <w:rPr>
                <w:rFonts w:hint="eastAsia"/>
              </w:rPr>
              <w:t>1</w:t>
            </w:r>
          </w:p>
        </w:tc>
        <w:tc>
          <w:tcPr>
            <w:tcW w:w="2104" w:type="dxa"/>
            <w:vAlign w:val="center"/>
          </w:tcPr>
          <w:p w14:paraId="4DE0CCB0">
            <w:pPr>
              <w:jc w:val="center"/>
              <w:rPr>
                <w:rFonts w:hint="eastAsia"/>
                <w:kern w:val="0"/>
              </w:rPr>
            </w:pPr>
            <w:r>
              <w:rPr>
                <w:rFonts w:hint="eastAsia"/>
                <w:lang w:val="en-US" w:eastAsia="zh-CN"/>
              </w:rPr>
              <w:t>深圳时尚小镇美憬阁精选酒店2025年餐饮帮工公司服务</w:t>
            </w:r>
          </w:p>
        </w:tc>
        <w:tc>
          <w:tcPr>
            <w:tcW w:w="1673" w:type="dxa"/>
            <w:vAlign w:val="center"/>
          </w:tcPr>
          <w:p w14:paraId="0F36D8F1">
            <w:pPr>
              <w:jc w:val="center"/>
              <w:rPr>
                <w:rFonts w:hint="default" w:eastAsia="仿宋"/>
                <w:lang w:val="en-US" w:eastAsia="zh-CN"/>
              </w:rPr>
            </w:pPr>
            <w:r>
              <w:rPr>
                <w:rFonts w:hint="default" w:eastAsia="仿宋"/>
                <w:lang w:val="en-US" w:eastAsia="zh-CN"/>
              </w:rPr>
              <w:t>500</w:t>
            </w:r>
            <w:r>
              <w:rPr>
                <w:rFonts w:hint="eastAsia"/>
                <w:lang w:val="en-US" w:eastAsia="zh-CN"/>
              </w:rPr>
              <w:t>,</w:t>
            </w:r>
            <w:r>
              <w:rPr>
                <w:rFonts w:hint="default" w:eastAsia="仿宋"/>
                <w:lang w:val="en-US" w:eastAsia="zh-CN"/>
              </w:rPr>
              <w:t>440.25</w:t>
            </w:r>
          </w:p>
        </w:tc>
        <w:tc>
          <w:tcPr>
            <w:tcW w:w="1850" w:type="dxa"/>
            <w:vAlign w:val="center"/>
          </w:tcPr>
          <w:p w14:paraId="32C099F0">
            <w:pPr>
              <w:jc w:val="center"/>
              <w:rPr>
                <w:rFonts w:hint="eastAsia"/>
              </w:rPr>
            </w:pPr>
          </w:p>
        </w:tc>
        <w:tc>
          <w:tcPr>
            <w:tcW w:w="3842" w:type="dxa"/>
            <w:vMerge w:val="restart"/>
            <w:vAlign w:val="center"/>
          </w:tcPr>
          <w:p w14:paraId="19F2B6D6">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备注：</w:t>
            </w:r>
          </w:p>
          <w:p w14:paraId="52512A41">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投标报价总价=Σ各项清单工程量*对应清单投标单价。</w:t>
            </w:r>
          </w:p>
          <w:p w14:paraId="2D3CFB21">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报价方式：</w:t>
            </w:r>
            <w:r>
              <w:rPr>
                <w:rFonts w:hint="eastAsia" w:ascii="仿宋" w:hAnsi="仿宋" w:eastAsia="仿宋" w:cs="仿宋"/>
                <w:bCs/>
                <w:color w:val="auto"/>
                <w:sz w:val="24"/>
                <w:szCs w:val="24"/>
                <w:highlight w:val="none"/>
              </w:rPr>
              <w:t>投标人需逐一填报清单综合单价，并将汇总的投标总价填入</w:t>
            </w:r>
            <w:r>
              <w:rPr>
                <w:rFonts w:hint="eastAsia" w:cs="仿宋"/>
                <w:bCs/>
                <w:color w:val="auto"/>
                <w:sz w:val="24"/>
                <w:szCs w:val="24"/>
                <w:highlight w:val="none"/>
                <w:lang w:val="en-US" w:eastAsia="zh-CN"/>
              </w:rPr>
              <w:t>本</w:t>
            </w:r>
            <w:r>
              <w:rPr>
                <w:rFonts w:hint="eastAsia" w:ascii="仿宋" w:hAnsi="仿宋" w:eastAsia="仿宋" w:cs="仿宋"/>
                <w:bCs/>
                <w:color w:val="auto"/>
                <w:sz w:val="24"/>
                <w:szCs w:val="24"/>
                <w:highlight w:val="none"/>
              </w:rPr>
              <w:t>表</w:t>
            </w:r>
            <w:r>
              <w:rPr>
                <w:rFonts w:hint="eastAsia" w:cs="仿宋"/>
                <w:bCs/>
                <w:color w:val="auto"/>
                <w:sz w:val="24"/>
                <w:szCs w:val="24"/>
                <w:highlight w:val="none"/>
                <w:lang w:val="en-US" w:eastAsia="zh-CN"/>
              </w:rPr>
              <w:t>中</w:t>
            </w:r>
            <w:r>
              <w:rPr>
                <w:rFonts w:hint="eastAsia" w:ascii="仿宋" w:hAnsi="仿宋" w:eastAsia="仿宋" w:cs="仿宋"/>
                <w:bCs/>
                <w:kern w:val="2"/>
                <w:sz w:val="24"/>
                <w:szCs w:val="24"/>
                <w:lang w:val="en-US" w:eastAsia="zh-CN" w:bidi="ar-SA"/>
              </w:rPr>
              <w:t>，填报的投标报价总价不得超过投标</w:t>
            </w:r>
            <w:r>
              <w:rPr>
                <w:rFonts w:hint="eastAsia" w:cs="仿宋"/>
                <w:bCs/>
                <w:kern w:val="2"/>
                <w:sz w:val="24"/>
                <w:szCs w:val="24"/>
                <w:lang w:val="en-US" w:eastAsia="zh-CN" w:bidi="ar-SA"/>
              </w:rPr>
              <w:t>上限含税总价</w:t>
            </w:r>
            <w:r>
              <w:rPr>
                <w:rFonts w:hint="eastAsia" w:ascii="仿宋" w:hAnsi="仿宋" w:eastAsia="仿宋" w:cs="仿宋"/>
                <w:bCs/>
                <w:kern w:val="2"/>
                <w:sz w:val="24"/>
                <w:szCs w:val="24"/>
                <w:lang w:val="en-US" w:eastAsia="zh-CN" w:bidi="ar-SA"/>
              </w:rPr>
              <w:t>，否则按无效标处理。</w:t>
            </w:r>
          </w:p>
          <w:p w14:paraId="2E917A54">
            <w:pPr>
              <w:pStyle w:val="2"/>
              <w:ind w:left="0" w:leftChars="0" w:firstLine="0" w:firstLineChars="0"/>
              <w:jc w:val="both"/>
              <w:rPr>
                <w:rFonts w:hint="eastAsia" w:ascii="仿宋" w:hAnsi="仿宋" w:eastAsia="仿宋" w:cs="仿宋"/>
                <w:bCs/>
                <w:kern w:val="2"/>
                <w:sz w:val="24"/>
                <w:szCs w:val="24"/>
                <w:lang w:val="en-US" w:eastAsia="zh-CN" w:bidi="ar-SA"/>
              </w:rPr>
            </w:pPr>
            <w:r>
              <w:rPr>
                <w:rFonts w:hint="eastAsia" w:ascii="仿宋" w:hAnsi="仿宋" w:eastAsia="仿宋" w:cs="仿宋"/>
                <w:bCs/>
                <w:kern w:val="2"/>
                <w:sz w:val="24"/>
                <w:szCs w:val="24"/>
                <w:lang w:val="en-US" w:eastAsia="zh-CN" w:bidi="ar-SA"/>
              </w:rPr>
              <w:t>说明：</w:t>
            </w:r>
          </w:p>
          <w:p w14:paraId="32907511">
            <w:pPr>
              <w:pStyle w:val="2"/>
              <w:ind w:left="0" w:leftChars="0" w:firstLine="0" w:firstLineChars="0"/>
              <w:jc w:val="both"/>
              <w:rPr>
                <w:rFonts w:hint="eastAsia"/>
              </w:rPr>
            </w:pPr>
            <w:r>
              <w:rPr>
                <w:rFonts w:hint="eastAsia" w:ascii="仿宋" w:hAnsi="仿宋" w:eastAsia="仿宋" w:cs="仿宋"/>
                <w:bCs/>
                <w:kern w:val="2"/>
                <w:sz w:val="24"/>
                <w:szCs w:val="24"/>
                <w:lang w:val="en-US" w:eastAsia="zh-CN" w:bidi="ar-SA"/>
              </w:rPr>
              <w:t>投标报价</w:t>
            </w:r>
            <w:r>
              <w:rPr>
                <w:rFonts w:hint="eastAsia" w:cs="仿宋"/>
                <w:bCs/>
                <w:kern w:val="2"/>
                <w:sz w:val="24"/>
                <w:szCs w:val="24"/>
                <w:lang w:val="en-US" w:eastAsia="zh-CN" w:bidi="ar-SA"/>
              </w:rPr>
              <w:t>包含投标单位</w:t>
            </w:r>
            <w:r>
              <w:rPr>
                <w:rFonts w:hint="eastAsia" w:ascii="仿宋" w:hAnsi="仿宋" w:eastAsia="仿宋" w:cs="仿宋"/>
                <w:bCs/>
                <w:kern w:val="2"/>
                <w:sz w:val="24"/>
                <w:szCs w:val="24"/>
                <w:lang w:val="en-US" w:eastAsia="zh-CN" w:bidi="ar-SA"/>
              </w:rPr>
              <w:t>所属雇员的月工资（包括所得税）、社会保险、公积金、福利费、加班费等</w:t>
            </w:r>
            <w:r>
              <w:rPr>
                <w:rFonts w:hint="eastAsia" w:cs="仿宋"/>
                <w:bCs/>
                <w:kern w:val="2"/>
                <w:sz w:val="24"/>
                <w:szCs w:val="24"/>
                <w:lang w:val="en-US" w:eastAsia="zh-CN" w:bidi="ar-SA"/>
              </w:rPr>
              <w:t>一切</w:t>
            </w:r>
            <w:r>
              <w:rPr>
                <w:rFonts w:hint="eastAsia" w:ascii="仿宋" w:hAnsi="仿宋" w:eastAsia="仿宋" w:cs="仿宋"/>
                <w:bCs/>
                <w:kern w:val="2"/>
                <w:sz w:val="24"/>
                <w:szCs w:val="24"/>
                <w:lang w:val="en-US" w:eastAsia="zh-CN" w:bidi="ar-SA"/>
              </w:rPr>
              <w:t>相关国家法定费用。</w:t>
            </w:r>
          </w:p>
        </w:tc>
      </w:tr>
      <w:tr w14:paraId="25C3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2" w:hRule="atLeast"/>
          <w:jc w:val="center"/>
        </w:trPr>
        <w:tc>
          <w:tcPr>
            <w:tcW w:w="518" w:type="dxa"/>
            <w:vAlign w:val="center"/>
          </w:tcPr>
          <w:p w14:paraId="788D4005">
            <w:pPr>
              <w:jc w:val="center"/>
              <w:rPr>
                <w:rFonts w:hint="eastAsia"/>
              </w:rPr>
            </w:pPr>
            <w:r>
              <w:rPr>
                <w:rFonts w:hint="eastAsia"/>
              </w:rPr>
              <w:t>2</w:t>
            </w:r>
          </w:p>
        </w:tc>
        <w:tc>
          <w:tcPr>
            <w:tcW w:w="2104" w:type="dxa"/>
            <w:vAlign w:val="center"/>
          </w:tcPr>
          <w:p w14:paraId="77651289">
            <w:pPr>
              <w:jc w:val="center"/>
              <w:rPr>
                <w:rFonts w:hint="eastAsia"/>
              </w:rPr>
            </w:pPr>
            <w:r>
              <w:rPr>
                <w:rFonts w:hint="eastAsia"/>
              </w:rPr>
              <w:t>金额（大写）</w:t>
            </w:r>
          </w:p>
        </w:tc>
        <w:tc>
          <w:tcPr>
            <w:tcW w:w="1673" w:type="dxa"/>
            <w:vAlign w:val="center"/>
          </w:tcPr>
          <w:p w14:paraId="740411B7">
            <w:pPr>
              <w:jc w:val="center"/>
              <w:rPr>
                <w:rFonts w:hint="default" w:eastAsia="仿宋"/>
                <w:lang w:val="en-US" w:eastAsia="zh-CN"/>
              </w:rPr>
            </w:pPr>
            <w:r>
              <w:rPr>
                <w:rFonts w:hint="eastAsia"/>
                <w:lang w:val="en-US" w:eastAsia="zh-CN"/>
              </w:rPr>
              <w:t>伍拾万零肆佰肆拾元贰角伍分</w:t>
            </w:r>
          </w:p>
        </w:tc>
        <w:tc>
          <w:tcPr>
            <w:tcW w:w="1850" w:type="dxa"/>
            <w:vAlign w:val="center"/>
          </w:tcPr>
          <w:p w14:paraId="1A724BE0">
            <w:pPr>
              <w:jc w:val="center"/>
              <w:rPr>
                <w:rFonts w:hint="eastAsia"/>
              </w:rPr>
            </w:pPr>
            <w:bookmarkStart w:id="1" w:name="_GoBack"/>
            <w:bookmarkEnd w:id="1"/>
          </w:p>
        </w:tc>
        <w:tc>
          <w:tcPr>
            <w:tcW w:w="3842" w:type="dxa"/>
            <w:vMerge w:val="continue"/>
            <w:vAlign w:val="center"/>
          </w:tcPr>
          <w:p w14:paraId="1145035F">
            <w:pPr>
              <w:rPr>
                <w:rFonts w:hint="eastAsia"/>
              </w:rPr>
            </w:pPr>
          </w:p>
        </w:tc>
      </w:tr>
    </w:tbl>
    <w:p w14:paraId="7E10144C">
      <w:pPr>
        <w:widowControl/>
        <w:autoSpaceDE/>
        <w:autoSpaceDN/>
        <w:spacing w:line="400" w:lineRule="exact"/>
        <w:jc w:val="both"/>
        <w:rPr>
          <w:rFonts w:hint="eastAsia"/>
        </w:rPr>
      </w:pPr>
      <w:r>
        <w:rPr>
          <w:rFonts w:hint="eastAsia"/>
        </w:rPr>
        <w:t>备注：</w:t>
      </w:r>
    </w:p>
    <w:p w14:paraId="4958E3C5">
      <w:pPr>
        <w:widowControl/>
        <w:numPr>
          <w:ilvl w:val="0"/>
          <w:numId w:val="1"/>
        </w:numPr>
        <w:autoSpaceDE/>
        <w:autoSpaceDN/>
        <w:spacing w:line="400" w:lineRule="exact"/>
        <w:jc w:val="both"/>
        <w:rPr>
          <w:rFonts w:hint="eastAsia"/>
        </w:rPr>
      </w:pPr>
      <w:r>
        <w:rPr>
          <w:rFonts w:hint="eastAsia"/>
        </w:rPr>
        <w:t>本项目按清单采购，采用固定全费用综合单价合同。遴选公告已提供不带价格的清单，投标人需逐一填报清单综合单价，并将汇总的投标总价填入上表，填报的投标报价总价不得超过</w:t>
      </w:r>
      <w:r>
        <w:rPr>
          <w:rFonts w:hint="eastAsia" w:ascii="仿宋" w:hAnsi="仿宋" w:eastAsia="仿宋" w:cs="仿宋"/>
          <w:bCs/>
          <w:kern w:val="2"/>
          <w:sz w:val="24"/>
          <w:szCs w:val="24"/>
          <w:lang w:val="en-US" w:eastAsia="zh-CN" w:bidi="ar-SA"/>
        </w:rPr>
        <w:t>投标</w:t>
      </w:r>
      <w:r>
        <w:rPr>
          <w:rFonts w:hint="eastAsia" w:cs="仿宋"/>
          <w:bCs/>
          <w:kern w:val="2"/>
          <w:sz w:val="24"/>
          <w:szCs w:val="24"/>
          <w:lang w:val="en-US" w:eastAsia="zh-CN" w:bidi="ar-SA"/>
        </w:rPr>
        <w:t>上限含税总价</w:t>
      </w:r>
      <w:r>
        <w:rPr>
          <w:rFonts w:hint="eastAsia"/>
        </w:rPr>
        <w:t>,否则按无效标处理，以上所报价格为含税价</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计算结果保留两位小数</w:t>
      </w:r>
      <w:r>
        <w:rPr>
          <w:rFonts w:hint="eastAsia" w:ascii="仿宋" w:hAnsi="仿宋" w:eastAsia="仿宋" w:cs="仿宋"/>
          <w:bCs/>
          <w:color w:val="auto"/>
          <w:sz w:val="24"/>
          <w:szCs w:val="24"/>
          <w:highlight w:val="none"/>
          <w:lang w:eastAsia="zh-CN"/>
        </w:rPr>
        <w:t>）</w:t>
      </w:r>
      <w:r>
        <w:rPr>
          <w:rFonts w:hint="eastAsia"/>
        </w:rPr>
        <w:t>。</w:t>
      </w:r>
    </w:p>
    <w:p w14:paraId="59433887">
      <w:pPr>
        <w:widowControl/>
        <w:numPr>
          <w:ilvl w:val="0"/>
          <w:numId w:val="1"/>
        </w:numPr>
        <w:autoSpaceDE/>
        <w:autoSpaceDN/>
        <w:spacing w:line="400" w:lineRule="exact"/>
        <w:jc w:val="both"/>
        <w:rPr>
          <w:rFonts w:hint="eastAsia"/>
        </w:rPr>
      </w:pPr>
      <w:r>
        <w:rPr>
          <w:rFonts w:hint="eastAsia"/>
        </w:rPr>
        <w:t>以上报价为本投标人在公告要求期限内完成约定的全部工作的总费用。</w:t>
      </w:r>
      <w:r>
        <w:rPr>
          <w:rFonts w:hint="eastAsia" w:ascii="仿宋" w:hAnsi="仿宋" w:eastAsia="仿宋" w:cs="仿宋"/>
          <w:b/>
          <w:bCs w:val="0"/>
          <w:color w:val="auto"/>
          <w:sz w:val="24"/>
          <w:szCs w:val="24"/>
          <w:highlight w:val="none"/>
        </w:rPr>
        <w:t>本项目结算金额不得超过</w:t>
      </w:r>
      <w:r>
        <w:rPr>
          <w:rFonts w:hint="eastAsia" w:ascii="仿宋" w:hAnsi="仿宋" w:eastAsia="仿宋" w:cs="仿宋"/>
          <w:b/>
          <w:bCs w:val="0"/>
          <w:color w:val="auto"/>
          <w:sz w:val="24"/>
          <w:szCs w:val="24"/>
          <w:highlight w:val="none"/>
          <w:lang w:val="en-US" w:eastAsia="zh-CN"/>
        </w:rPr>
        <w:t>投标上</w:t>
      </w:r>
      <w:r>
        <w:rPr>
          <w:rFonts w:hint="eastAsia" w:ascii="仿宋" w:hAnsi="仿宋" w:eastAsia="仿宋" w:cs="仿宋"/>
          <w:b/>
          <w:bCs w:val="0"/>
          <w:color w:val="auto"/>
          <w:sz w:val="24"/>
          <w:szCs w:val="24"/>
          <w:highlight w:val="none"/>
        </w:rPr>
        <w:t>限价总额。</w:t>
      </w:r>
      <w:r>
        <w:rPr>
          <w:rFonts w:hint="eastAsia" w:ascii="仿宋" w:hAnsi="仿宋" w:eastAsia="仿宋" w:cs="仿宋"/>
          <w:bCs/>
          <w:color w:val="auto"/>
          <w:sz w:val="24"/>
          <w:szCs w:val="24"/>
          <w:highlight w:val="none"/>
        </w:rPr>
        <w:t>若</w:t>
      </w:r>
      <w:r>
        <w:rPr>
          <w:rFonts w:hint="eastAsia" w:ascii="仿宋" w:hAnsi="仿宋" w:eastAsia="仿宋" w:cs="仿宋"/>
          <w:bCs/>
          <w:color w:val="auto"/>
          <w:sz w:val="24"/>
          <w:szCs w:val="24"/>
          <w:highlight w:val="none"/>
          <w:lang w:val="en-US" w:eastAsia="zh-CN"/>
        </w:rPr>
        <w:t>本项目</w:t>
      </w:r>
      <w:r>
        <w:rPr>
          <w:rFonts w:hint="eastAsia" w:ascii="仿宋" w:hAnsi="仿宋" w:eastAsia="仿宋" w:cs="仿宋"/>
          <w:bCs/>
          <w:color w:val="auto"/>
          <w:sz w:val="24"/>
          <w:szCs w:val="24"/>
          <w:highlight w:val="none"/>
        </w:rPr>
        <w:t>结算金额超过</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限价总额，则超出部分由</w:t>
      </w:r>
      <w:r>
        <w:rPr>
          <w:rFonts w:hint="eastAsia" w:ascii="仿宋" w:hAnsi="仿宋" w:eastAsia="仿宋" w:cs="仿宋"/>
          <w:bCs/>
          <w:color w:val="auto"/>
          <w:sz w:val="24"/>
          <w:szCs w:val="24"/>
          <w:highlight w:val="none"/>
          <w:lang w:val="en-US" w:eastAsia="zh-CN"/>
        </w:rPr>
        <w:t>本投标人</w:t>
      </w:r>
      <w:r>
        <w:rPr>
          <w:rFonts w:hint="eastAsia" w:ascii="仿宋" w:hAnsi="仿宋" w:eastAsia="仿宋" w:cs="仿宋"/>
          <w:bCs/>
          <w:color w:val="auto"/>
          <w:sz w:val="24"/>
          <w:szCs w:val="24"/>
          <w:highlight w:val="none"/>
        </w:rPr>
        <w:t>自行独立承担，按本项目</w:t>
      </w:r>
      <w:r>
        <w:rPr>
          <w:rFonts w:hint="eastAsia" w:ascii="仿宋" w:hAnsi="仿宋" w:eastAsia="仿宋" w:cs="仿宋"/>
          <w:bCs/>
          <w:color w:val="auto"/>
          <w:sz w:val="24"/>
          <w:szCs w:val="24"/>
          <w:highlight w:val="none"/>
          <w:lang w:val="en-US" w:eastAsia="zh-CN"/>
        </w:rPr>
        <w:t>投标上</w:t>
      </w:r>
      <w:r>
        <w:rPr>
          <w:rFonts w:hint="eastAsia" w:ascii="仿宋" w:hAnsi="仿宋" w:eastAsia="仿宋" w:cs="仿宋"/>
          <w:bCs/>
          <w:color w:val="auto"/>
          <w:sz w:val="24"/>
          <w:szCs w:val="24"/>
          <w:highlight w:val="none"/>
        </w:rPr>
        <w:t>限价总额进行结算，</w:t>
      </w:r>
      <w:r>
        <w:rPr>
          <w:rFonts w:hint="eastAsia" w:ascii="仿宋" w:hAnsi="仿宋" w:eastAsia="仿宋" w:cs="仿宋"/>
          <w:bCs/>
          <w:color w:val="auto"/>
          <w:sz w:val="24"/>
          <w:szCs w:val="24"/>
          <w:highlight w:val="none"/>
          <w:lang w:val="en-US" w:eastAsia="zh-CN"/>
        </w:rPr>
        <w:t>本投标人</w:t>
      </w:r>
      <w:r>
        <w:rPr>
          <w:rFonts w:hint="eastAsia" w:ascii="仿宋" w:hAnsi="仿宋" w:eastAsia="仿宋" w:cs="仿宋"/>
          <w:bCs/>
          <w:color w:val="auto"/>
          <w:sz w:val="24"/>
          <w:szCs w:val="24"/>
          <w:highlight w:val="none"/>
        </w:rPr>
        <w:t>不得向</w:t>
      </w:r>
      <w:r>
        <w:rPr>
          <w:rFonts w:hint="eastAsia" w:ascii="仿宋" w:hAnsi="仿宋" w:eastAsia="仿宋" w:cs="仿宋"/>
          <w:bCs/>
          <w:color w:val="auto"/>
          <w:sz w:val="24"/>
          <w:szCs w:val="24"/>
          <w:highlight w:val="none"/>
          <w:lang w:val="en-US" w:eastAsia="zh-CN"/>
        </w:rPr>
        <w:t>招标人</w:t>
      </w:r>
      <w:r>
        <w:rPr>
          <w:rFonts w:hint="eastAsia" w:ascii="仿宋" w:hAnsi="仿宋" w:eastAsia="仿宋" w:cs="仿宋"/>
          <w:bCs/>
          <w:color w:val="auto"/>
          <w:sz w:val="24"/>
          <w:szCs w:val="24"/>
          <w:highlight w:val="none"/>
        </w:rPr>
        <w:t>寻求其他任何的补偿或赔偿。</w:t>
      </w:r>
    </w:p>
    <w:p w14:paraId="7F3B5FF5">
      <w:pPr>
        <w:widowControl/>
        <w:autoSpaceDE/>
        <w:autoSpaceDN/>
        <w:spacing w:line="400" w:lineRule="exact"/>
        <w:jc w:val="left"/>
        <w:rPr>
          <w:rFonts w:hint="eastAsia"/>
        </w:rPr>
      </w:pPr>
      <w:r>
        <w:rPr>
          <w:rFonts w:hint="eastAsia"/>
        </w:rPr>
        <w:t>（</w:t>
      </w:r>
      <w:r>
        <w:rPr>
          <w:rFonts w:hint="eastAsia"/>
          <w:lang w:val="en-US" w:eastAsia="zh-CN"/>
        </w:rPr>
        <w:t>3</w:t>
      </w:r>
      <w:r>
        <w:rPr>
          <w:rFonts w:hint="eastAsia"/>
        </w:rPr>
        <w:t>）如招标人接受本投标人的投标，本投标人将保证遵循国家和省、市相关法律、法规的要求和公告要求完成相关工作。在正式的合同协议制定和签署前，本报价连同招标人的中标通知书应为约束贵司、我双方的合同文件。</w:t>
      </w:r>
    </w:p>
    <w:p w14:paraId="3D1C0D72">
      <w:pPr>
        <w:autoSpaceDE/>
        <w:autoSpaceDN/>
        <w:spacing w:before="156" w:beforeLines="50" w:line="360" w:lineRule="auto"/>
        <w:ind w:firstLine="2520" w:firstLineChars="1050"/>
        <w:jc w:val="both"/>
        <w:rPr>
          <w:rFonts w:hint="eastAsia"/>
        </w:rPr>
      </w:pPr>
      <w:r>
        <w:rPr>
          <w:rFonts w:hint="eastAsia"/>
        </w:rPr>
        <w:t>投标人（公章）：</w:t>
      </w:r>
    </w:p>
    <w:p w14:paraId="13516423">
      <w:pPr>
        <w:autoSpaceDE/>
        <w:autoSpaceDN/>
        <w:spacing w:before="156" w:beforeLines="50" w:line="360" w:lineRule="auto"/>
        <w:ind w:firstLine="2520" w:firstLineChars="1050"/>
        <w:jc w:val="both"/>
        <w:rPr>
          <w:rFonts w:hint="eastAsia"/>
        </w:rPr>
      </w:pPr>
      <w:r>
        <w:rPr>
          <w:rFonts w:hint="eastAsia"/>
        </w:rPr>
        <w:t>法人代表人或其授权委托代理人（签章）：</w:t>
      </w:r>
    </w:p>
    <w:p w14:paraId="7EA5C3ED">
      <w:pPr>
        <w:autoSpaceDE/>
        <w:autoSpaceDN/>
        <w:spacing w:before="156" w:beforeLines="50" w:line="360" w:lineRule="auto"/>
        <w:ind w:firstLine="2520" w:firstLineChars="1050"/>
        <w:jc w:val="both"/>
        <w:rPr>
          <w:rFonts w:hint="eastAsia"/>
        </w:rPr>
      </w:pPr>
      <w:r>
        <w:rPr>
          <w:rFonts w:hint="eastAsia"/>
        </w:rPr>
        <w:t>日期：    年    月    日</w:t>
      </w:r>
      <w:r>
        <w:rPr>
          <w:rFonts w:hint="eastAsia"/>
        </w:rPr>
        <w:br w:type="page"/>
      </w:r>
    </w:p>
    <w:p w14:paraId="445B77AB">
      <w:pPr>
        <w:autoSpaceDE/>
        <w:autoSpaceDN/>
        <w:adjustRightInd/>
        <w:snapToGrid/>
        <w:jc w:val="center"/>
        <w:rPr>
          <w:rFonts w:hint="eastAsia"/>
          <w:b/>
          <w:bCs w:val="0"/>
          <w:sz w:val="28"/>
          <w:szCs w:val="28"/>
        </w:rPr>
      </w:pPr>
      <w:r>
        <w:rPr>
          <w:rFonts w:hint="eastAsia"/>
          <w:b/>
          <w:bCs w:val="0"/>
          <w:sz w:val="28"/>
          <w:szCs w:val="28"/>
        </w:rPr>
        <w:t>投标分项报价表</w:t>
      </w:r>
    </w:p>
    <w:p w14:paraId="5AE38900">
      <w:pPr>
        <w:autoSpaceDE/>
        <w:autoSpaceDN/>
        <w:adjustRightInd/>
        <w:snapToGrid/>
        <w:jc w:val="both"/>
        <w:rPr>
          <w:rFonts w:hint="eastAsia"/>
          <w:sz w:val="28"/>
          <w:szCs w:val="28"/>
        </w:rPr>
      </w:pPr>
      <w:r>
        <w:rPr>
          <w:rFonts w:hint="eastAsia"/>
          <w:sz w:val="28"/>
          <w:szCs w:val="28"/>
        </w:rPr>
        <w:t>投标人按招标文件附件《</w:t>
      </w:r>
      <w:r>
        <w:rPr>
          <w:rFonts w:hint="eastAsia"/>
          <w:sz w:val="28"/>
          <w:szCs w:val="28"/>
          <w:lang w:val="en-US" w:eastAsia="zh-CN"/>
        </w:rPr>
        <w:t>深圳时尚小镇美憬阁精选酒店2025年餐饮帮工公司服务</w:t>
      </w:r>
      <w:r>
        <w:rPr>
          <w:rFonts w:hint="eastAsia"/>
          <w:sz w:val="28"/>
          <w:szCs w:val="28"/>
        </w:rPr>
        <w:t>招标清单》进行报价，并将报价清单粘贴在此处。</w:t>
      </w:r>
    </w:p>
    <w:bookmarkEnd w:id="0"/>
    <w:p w14:paraId="7B7E7778">
      <w:pPr>
        <w:rPr>
          <w:rFonts w:hint="eastAsia"/>
        </w:rPr>
      </w:pPr>
    </w:p>
    <w:sectPr>
      <w:pgSz w:w="11906" w:h="16838"/>
      <w:pgMar w:top="2098"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A7ACA3"/>
    <w:multiLevelType w:val="singleLevel"/>
    <w:tmpl w:val="9AA7AC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mMWVkZGNmY2VmMWRmOTI5N2Q2MTAwYWJjNjkyM2QifQ=="/>
  </w:docVars>
  <w:rsids>
    <w:rsidRoot w:val="6140578B"/>
    <w:rsid w:val="00010010"/>
    <w:rsid w:val="00020FBD"/>
    <w:rsid w:val="000223BD"/>
    <w:rsid w:val="000C55FA"/>
    <w:rsid w:val="000D1F36"/>
    <w:rsid w:val="000D4846"/>
    <w:rsid w:val="000F0892"/>
    <w:rsid w:val="000F6A8C"/>
    <w:rsid w:val="001043DD"/>
    <w:rsid w:val="00132085"/>
    <w:rsid w:val="00137312"/>
    <w:rsid w:val="00180937"/>
    <w:rsid w:val="002A76B5"/>
    <w:rsid w:val="002F3B3F"/>
    <w:rsid w:val="00391FE2"/>
    <w:rsid w:val="00417332"/>
    <w:rsid w:val="00421FDF"/>
    <w:rsid w:val="00440A75"/>
    <w:rsid w:val="0044450E"/>
    <w:rsid w:val="004446AA"/>
    <w:rsid w:val="0049367A"/>
    <w:rsid w:val="00496138"/>
    <w:rsid w:val="004D2CA1"/>
    <w:rsid w:val="00581736"/>
    <w:rsid w:val="0062023C"/>
    <w:rsid w:val="00643BB8"/>
    <w:rsid w:val="006A5B58"/>
    <w:rsid w:val="006C120C"/>
    <w:rsid w:val="006D6A1E"/>
    <w:rsid w:val="00731168"/>
    <w:rsid w:val="00794C6C"/>
    <w:rsid w:val="007A4478"/>
    <w:rsid w:val="007E0623"/>
    <w:rsid w:val="008140E2"/>
    <w:rsid w:val="00851FC6"/>
    <w:rsid w:val="00865E82"/>
    <w:rsid w:val="00876988"/>
    <w:rsid w:val="008A74BF"/>
    <w:rsid w:val="008C7626"/>
    <w:rsid w:val="0092420C"/>
    <w:rsid w:val="00944B94"/>
    <w:rsid w:val="00980B68"/>
    <w:rsid w:val="009A33FF"/>
    <w:rsid w:val="009A5EAF"/>
    <w:rsid w:val="00A07E33"/>
    <w:rsid w:val="00A74111"/>
    <w:rsid w:val="00A92F2C"/>
    <w:rsid w:val="00AB2381"/>
    <w:rsid w:val="00BF5D7B"/>
    <w:rsid w:val="00BF6722"/>
    <w:rsid w:val="00C44CE4"/>
    <w:rsid w:val="00CB4574"/>
    <w:rsid w:val="00CD7A0C"/>
    <w:rsid w:val="00CE64C9"/>
    <w:rsid w:val="00D12A6F"/>
    <w:rsid w:val="00D17EA4"/>
    <w:rsid w:val="00D40904"/>
    <w:rsid w:val="00D754C6"/>
    <w:rsid w:val="00DA3398"/>
    <w:rsid w:val="00E51081"/>
    <w:rsid w:val="00E606C7"/>
    <w:rsid w:val="00EC4725"/>
    <w:rsid w:val="00EE641A"/>
    <w:rsid w:val="00EF3F97"/>
    <w:rsid w:val="00F60464"/>
    <w:rsid w:val="00F9167D"/>
    <w:rsid w:val="00FA78B5"/>
    <w:rsid w:val="00FD0FF3"/>
    <w:rsid w:val="00FD4FA1"/>
    <w:rsid w:val="01A41A98"/>
    <w:rsid w:val="01B6499F"/>
    <w:rsid w:val="039C2053"/>
    <w:rsid w:val="042D158D"/>
    <w:rsid w:val="04E06965"/>
    <w:rsid w:val="0B2B2741"/>
    <w:rsid w:val="0E894879"/>
    <w:rsid w:val="135678EB"/>
    <w:rsid w:val="137E32EB"/>
    <w:rsid w:val="143B4971"/>
    <w:rsid w:val="14700CB1"/>
    <w:rsid w:val="1491762A"/>
    <w:rsid w:val="16B42882"/>
    <w:rsid w:val="16DD2B93"/>
    <w:rsid w:val="171056A3"/>
    <w:rsid w:val="18893450"/>
    <w:rsid w:val="1F8E7E31"/>
    <w:rsid w:val="1FA15110"/>
    <w:rsid w:val="21F433CC"/>
    <w:rsid w:val="22067DBD"/>
    <w:rsid w:val="24B70CBB"/>
    <w:rsid w:val="25CD7E3F"/>
    <w:rsid w:val="27BD652A"/>
    <w:rsid w:val="2847702A"/>
    <w:rsid w:val="285069A9"/>
    <w:rsid w:val="29304E64"/>
    <w:rsid w:val="294544BB"/>
    <w:rsid w:val="2F9C3726"/>
    <w:rsid w:val="306A4EEC"/>
    <w:rsid w:val="30702E7F"/>
    <w:rsid w:val="321049D0"/>
    <w:rsid w:val="32B00E4D"/>
    <w:rsid w:val="33BF02E8"/>
    <w:rsid w:val="3444618C"/>
    <w:rsid w:val="351E3653"/>
    <w:rsid w:val="396C61CD"/>
    <w:rsid w:val="3A3E4582"/>
    <w:rsid w:val="3A4F7256"/>
    <w:rsid w:val="3C680E8A"/>
    <w:rsid w:val="3D3171E8"/>
    <w:rsid w:val="3E5B5091"/>
    <w:rsid w:val="3FC35E58"/>
    <w:rsid w:val="42E53259"/>
    <w:rsid w:val="43FB5E70"/>
    <w:rsid w:val="468F4DC7"/>
    <w:rsid w:val="498E7188"/>
    <w:rsid w:val="49AB55A6"/>
    <w:rsid w:val="4B646EED"/>
    <w:rsid w:val="4E43513C"/>
    <w:rsid w:val="4E563093"/>
    <w:rsid w:val="4F1171F4"/>
    <w:rsid w:val="4F7F7C2D"/>
    <w:rsid w:val="4FEC5144"/>
    <w:rsid w:val="50317CDC"/>
    <w:rsid w:val="56CB2B66"/>
    <w:rsid w:val="5AF83711"/>
    <w:rsid w:val="5BB04C2C"/>
    <w:rsid w:val="5BF14D74"/>
    <w:rsid w:val="608B101A"/>
    <w:rsid w:val="6140578B"/>
    <w:rsid w:val="62141106"/>
    <w:rsid w:val="640B1FF4"/>
    <w:rsid w:val="669A12B7"/>
    <w:rsid w:val="684E0792"/>
    <w:rsid w:val="68610DE6"/>
    <w:rsid w:val="6A7177BA"/>
    <w:rsid w:val="6B5477F9"/>
    <w:rsid w:val="6B971973"/>
    <w:rsid w:val="6CB23A23"/>
    <w:rsid w:val="6D095C70"/>
    <w:rsid w:val="6E2E2151"/>
    <w:rsid w:val="75D37152"/>
    <w:rsid w:val="76FF32C8"/>
    <w:rsid w:val="777D7FD8"/>
    <w:rsid w:val="79A1496E"/>
    <w:rsid w:val="7A0A79F9"/>
    <w:rsid w:val="7A6207C4"/>
    <w:rsid w:val="7B746AC1"/>
    <w:rsid w:val="7C372E28"/>
    <w:rsid w:val="7D7950EB"/>
    <w:rsid w:val="7EE82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pPr>
    <w:rPr>
      <w:rFonts w:ascii="仿宋" w:hAnsi="仿宋" w:eastAsia="仿宋" w:cs="仿宋"/>
      <w:bCs/>
      <w:kern w:val="2"/>
      <w:sz w:val="24"/>
      <w:szCs w:val="24"/>
      <w:lang w:val="en-US" w:eastAsia="zh-CN" w:bidi="ar-SA"/>
    </w:rPr>
  </w:style>
  <w:style w:type="paragraph" w:styleId="5">
    <w:name w:val="heading 2"/>
    <w:basedOn w:val="1"/>
    <w:next w:val="1"/>
    <w:semiHidden/>
    <w:unhideWhenUsed/>
    <w:qFormat/>
    <w:uiPriority w:val="0"/>
    <w:pPr>
      <w:spacing w:beforeAutospacing="1" w:afterAutospacing="1"/>
      <w:outlineLvl w:val="1"/>
    </w:pPr>
    <w:rPr>
      <w:rFonts w:hint="eastAsia" w:ascii="宋体" w:hAnsi="宋体" w:eastAsia="宋体" w:cs="Times New Roman"/>
      <w:b/>
      <w:bCs w:val="0"/>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ind w:left="420" w:leftChars="200" w:firstLine="420"/>
    </w:pPr>
  </w:style>
  <w:style w:type="paragraph" w:styleId="3">
    <w:name w:val="Body Text Indent"/>
    <w:basedOn w:val="1"/>
    <w:next w:val="4"/>
    <w:qFormat/>
    <w:uiPriority w:val="0"/>
    <w:pPr>
      <w:ind w:firstLine="600" w:firstLineChars="200"/>
    </w:pPr>
    <w:rPr>
      <w:sz w:val="30"/>
    </w:rPr>
  </w:style>
  <w:style w:type="paragraph" w:styleId="4">
    <w:name w:val="header"/>
    <w:basedOn w:val="1"/>
    <w:qFormat/>
    <w:uiPriority w:val="99"/>
    <w:pPr>
      <w:pBdr>
        <w:bottom w:val="single" w:color="auto" w:sz="6" w:space="1"/>
      </w:pBdr>
      <w:tabs>
        <w:tab w:val="center" w:pos="4153"/>
        <w:tab w:val="right" w:pos="8306"/>
      </w:tabs>
      <w:jc w:val="center"/>
    </w:pPr>
    <w:rPr>
      <w:sz w:val="18"/>
      <w:szCs w:val="18"/>
    </w:rPr>
  </w:style>
  <w:style w:type="paragraph" w:styleId="6">
    <w:name w:val="Normal Indent"/>
    <w:basedOn w:val="1"/>
    <w:qFormat/>
    <w:uiPriority w:val="0"/>
    <w:pPr>
      <w:ind w:firstLine="420"/>
    </w:pPr>
  </w:style>
  <w:style w:type="paragraph" w:styleId="7">
    <w:name w:val="annotation text"/>
    <w:basedOn w:val="1"/>
    <w:qFormat/>
    <w:uiPriority w:val="0"/>
  </w:style>
  <w:style w:type="paragraph" w:styleId="8">
    <w:name w:val="Body Text"/>
    <w:basedOn w:val="1"/>
    <w:next w:val="9"/>
    <w:qFormat/>
    <w:uiPriority w:val="1"/>
    <w:pPr>
      <w:ind w:left="779" w:firstLine="641"/>
    </w:pPr>
    <w:rPr>
      <w:rFonts w:ascii="宋体" w:hAnsi="宋体"/>
      <w:kern w:val="0"/>
      <w:sz w:val="32"/>
      <w:szCs w:val="32"/>
      <w:lang w:eastAsia="en-US"/>
    </w:rPr>
  </w:style>
  <w:style w:type="paragraph" w:styleId="9">
    <w:name w:val="Body Text 2"/>
    <w:basedOn w:val="1"/>
    <w:qFormat/>
    <w:uiPriority w:val="0"/>
    <w:rPr>
      <w:rFonts w:ascii="楷体_GB2312" w:hAnsi="宋体" w:eastAsia="楷体_GB2312"/>
      <w:color w:val="000000"/>
      <w:kern w:val="0"/>
      <w:szCs w:val="21"/>
    </w:rPr>
  </w:style>
  <w:style w:type="paragraph" w:styleId="10">
    <w:name w:val="Plain Text"/>
    <w:basedOn w:val="1"/>
    <w:qFormat/>
    <w:uiPriority w:val="0"/>
    <w:rPr>
      <w:rFonts w:hAnsi="Courier New" w:cs="Courier New"/>
      <w:szCs w:val="21"/>
    </w:rPr>
  </w:style>
  <w:style w:type="paragraph" w:styleId="11">
    <w:name w:val="footer"/>
    <w:basedOn w:val="1"/>
    <w:unhideWhenUsed/>
    <w:qFormat/>
    <w:uiPriority w:val="99"/>
    <w:pPr>
      <w:tabs>
        <w:tab w:val="center" w:pos="4153"/>
        <w:tab w:val="right" w:pos="8306"/>
      </w:tabs>
    </w:pPr>
    <w:rPr>
      <w:sz w:val="18"/>
      <w:szCs w:val="18"/>
    </w:rPr>
  </w:style>
  <w:style w:type="paragraph" w:styleId="12">
    <w:name w:val="Normal (Web)"/>
    <w:basedOn w:val="1"/>
    <w:unhideWhenUsed/>
    <w:qFormat/>
    <w:uiPriority w:val="99"/>
    <w:rPr>
      <w:rFonts w:ascii="Times New Roman" w:hAnsi="Times New Roman"/>
      <w:kern w:val="0"/>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列出段落1"/>
    <w:basedOn w:val="1"/>
    <w:qFormat/>
    <w:uiPriority w:val="34"/>
    <w:pPr>
      <w:ind w:firstLine="420" w:firstLineChars="200"/>
    </w:pPr>
    <w:rPr>
      <w:rFonts w:ascii="Calibri" w:hAnsi="Calibri" w:eastAsia="宋体" w:cs="Times New Roman"/>
      <w:szCs w:val="22"/>
    </w:rPr>
  </w:style>
  <w:style w:type="paragraph" w:styleId="18">
    <w:name w:val="List Paragraph"/>
    <w:basedOn w:val="1"/>
    <w:link w:val="19"/>
    <w:qFormat/>
    <w:uiPriority w:val="0"/>
    <w:pPr>
      <w:autoSpaceDE/>
      <w:autoSpaceDN/>
      <w:adjustRightInd/>
      <w:snapToGrid/>
      <w:ind w:firstLine="420" w:firstLineChars="200"/>
      <w:jc w:val="both"/>
    </w:pPr>
    <w:rPr>
      <w:rFonts w:ascii="Times New Roman" w:hAnsi="Times New Roman" w:eastAsia="宋体" w:cs="Times New Roman"/>
      <w:bCs w:val="0"/>
      <w:sz w:val="21"/>
      <w:szCs w:val="20"/>
    </w:rPr>
  </w:style>
  <w:style w:type="character" w:customStyle="1" w:styleId="19">
    <w:name w:val="列表段落 字符"/>
    <w:link w:val="18"/>
    <w:qFormat/>
    <w:uiPriority w:val="0"/>
    <w:rPr>
      <w:kern w:val="2"/>
      <w:sz w:val="21"/>
    </w:rPr>
  </w:style>
  <w:style w:type="paragraph" w:customStyle="1" w:styleId="20">
    <w:name w:val="Revision"/>
    <w:hidden/>
    <w:unhideWhenUsed/>
    <w:qFormat/>
    <w:uiPriority w:val="99"/>
    <w:rPr>
      <w:rFonts w:ascii="仿宋" w:hAnsi="仿宋" w:eastAsia="仿宋" w:cs="仿宋"/>
      <w:bCs/>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718</Words>
  <Characters>743</Characters>
  <Lines>4</Lines>
  <Paragraphs>1</Paragraphs>
  <TotalTime>0</TotalTime>
  <ScaleCrop>false</ScaleCrop>
  <LinksUpToDate>false</LinksUpToDate>
  <CharactersWithSpaces>756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2023-04-06T12:03:00Z</dcterms:created>
  <dc:creator>456</dc:creator>
  <cp:lastModifiedBy>Peterson。</cp:lastModifiedBy>
  <dcterms:modified xsi:type="dcterms:W3CDTF">2025-04-30T00:52:09Z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CF834F5FA2B9441EA2356E7AD013DE0A_13</vt:lpwstr>
  </property>
  <property fmtid="{D5CDD505-2E9C-101B-9397-08002B2CF9AE}" pid="4" name="KSOTemplateDocerSaveRecord">
    <vt:lpwstr>eyJoZGlkIjoiNGFiOTMwYTM5ZjJmMzA3OTAyZWViNGU2MjA1MTQ0ZWQiLCJ1c2VySWQiOiIyMTI1MzEyMTMifQ==</vt:lpwstr>
  </property>
</Properties>
</file>