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jc w:val="center"/>
        <w:rPr>
          <w:rFonts w:ascii="黑体" w:hAnsi="黑体" w:eastAsia="黑体" w:cs="黑体"/>
          <w:b/>
          <w:bCs/>
          <w:sz w:val="44"/>
          <w:szCs w:val="44"/>
          <w:highlight w:val="none"/>
        </w:rPr>
      </w:pPr>
      <w:r>
        <w:rPr>
          <w:rFonts w:hint="eastAsia" w:ascii="黑体" w:hAnsi="黑体" w:eastAsia="黑体" w:cs="黑体"/>
          <w:b/>
          <w:bCs/>
          <w:sz w:val="44"/>
          <w:szCs w:val="44"/>
          <w:highlight w:val="none"/>
        </w:rPr>
        <w:t>深圳市龙华建设发展集团有限公司“十五五”</w:t>
      </w:r>
    </w:p>
    <w:p>
      <w:pPr>
        <w:spacing w:line="540" w:lineRule="exact"/>
        <w:jc w:val="center"/>
        <w:rPr>
          <w:rFonts w:ascii="宋体" w:hAnsi="宋体" w:cs="宋体"/>
          <w:b/>
          <w:bCs/>
          <w:sz w:val="36"/>
          <w:szCs w:val="36"/>
          <w:highlight w:val="none"/>
        </w:rPr>
      </w:pPr>
      <w:r>
        <w:rPr>
          <w:rFonts w:hint="eastAsia" w:ascii="黑体" w:hAnsi="黑体" w:eastAsia="黑体" w:cs="黑体"/>
          <w:b/>
          <w:bCs/>
          <w:sz w:val="44"/>
          <w:szCs w:val="44"/>
          <w:highlight w:val="none"/>
        </w:rPr>
        <w:t>规划编制服务合同</w:t>
      </w:r>
    </w:p>
    <w:p>
      <w:pPr>
        <w:spacing w:line="540" w:lineRule="exact"/>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jc w:val="center"/>
        <w:rPr>
          <w:rFonts w:ascii="宋体" w:hAnsi="宋体" w:cs="宋体"/>
          <w:szCs w:val="21"/>
          <w:highlight w:val="none"/>
        </w:rPr>
      </w:pPr>
    </w:p>
    <w:p>
      <w:pPr>
        <w:widowControl/>
        <w:spacing w:after="160" w:line="540" w:lineRule="exact"/>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合同编号：</w:t>
      </w: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rPr>
          <w:rFonts w:ascii="黑体" w:hAnsi="黑体" w:eastAsia="黑体" w:cs="黑体"/>
          <w:b/>
          <w:bCs/>
          <w:sz w:val="30"/>
          <w:szCs w:val="30"/>
          <w:highlight w:val="none"/>
        </w:rPr>
      </w:pPr>
    </w:p>
    <w:p>
      <w:pPr>
        <w:spacing w:line="360" w:lineRule="auto"/>
        <w:ind w:firstLine="602" w:firstLineChars="200"/>
        <w:rPr>
          <w:rFonts w:ascii="黑体" w:hAnsi="黑体" w:eastAsia="黑体" w:cs="黑体"/>
          <w:b/>
          <w:bCs/>
          <w:sz w:val="30"/>
          <w:szCs w:val="30"/>
          <w:highlight w:val="none"/>
          <w:u w:val="single"/>
        </w:rPr>
      </w:pPr>
      <w:r>
        <w:rPr>
          <w:rFonts w:hint="eastAsia" w:ascii="黑体" w:hAnsi="黑体" w:eastAsia="黑体" w:cs="黑体"/>
          <w:b/>
          <w:bCs/>
          <w:sz w:val="30"/>
          <w:szCs w:val="30"/>
          <w:highlight w:val="none"/>
        </w:rPr>
        <w:t>项目名称：</w:t>
      </w:r>
      <w:r>
        <w:rPr>
          <w:rFonts w:hint="eastAsia" w:ascii="黑体" w:hAnsi="黑体" w:eastAsia="黑体" w:cs="黑体"/>
          <w:b/>
          <w:bCs/>
          <w:sz w:val="30"/>
          <w:szCs w:val="30"/>
          <w:highlight w:val="none"/>
          <w:u w:val="single"/>
        </w:rPr>
        <w:t>深圳市龙华建设发展集团有限公司“十五五”</w:t>
      </w:r>
    </w:p>
    <w:p>
      <w:pPr>
        <w:spacing w:line="360" w:lineRule="auto"/>
        <w:ind w:firstLine="2108" w:firstLineChars="700"/>
        <w:rPr>
          <w:rFonts w:ascii="黑体" w:hAnsi="黑体" w:eastAsia="黑体" w:cs="黑体"/>
          <w:b/>
          <w:bCs/>
          <w:sz w:val="30"/>
          <w:szCs w:val="30"/>
          <w:highlight w:val="none"/>
          <w:u w:val="single"/>
        </w:rPr>
      </w:pPr>
      <w:r>
        <w:rPr>
          <w:rFonts w:hint="eastAsia" w:ascii="黑体" w:hAnsi="黑体" w:eastAsia="黑体" w:cs="黑体"/>
          <w:b/>
          <w:bCs/>
          <w:sz w:val="30"/>
          <w:szCs w:val="30"/>
          <w:highlight w:val="none"/>
          <w:u w:val="single"/>
        </w:rPr>
        <w:t>规划编制服务</w:t>
      </w:r>
    </w:p>
    <w:p>
      <w:pPr>
        <w:spacing w:line="360" w:lineRule="auto"/>
        <w:ind w:firstLine="602" w:firstLineChars="200"/>
        <w:rPr>
          <w:rFonts w:ascii="黑体" w:hAnsi="黑体" w:eastAsia="黑体" w:cs="黑体"/>
          <w:b/>
          <w:bCs/>
          <w:sz w:val="30"/>
          <w:szCs w:val="30"/>
          <w:highlight w:val="none"/>
        </w:rPr>
      </w:pPr>
      <w:r>
        <w:rPr>
          <w:rFonts w:hint="eastAsia" w:ascii="黑体" w:hAnsi="黑体" w:eastAsia="黑体" w:cs="黑体"/>
          <w:b/>
          <w:bCs/>
          <w:sz w:val="30"/>
          <w:szCs w:val="30"/>
          <w:highlight w:val="none"/>
        </w:rPr>
        <w:t>委托单位：</w:t>
      </w:r>
      <w:r>
        <w:rPr>
          <w:rFonts w:hint="eastAsia" w:ascii="黑体" w:hAnsi="黑体" w:eastAsia="黑体" w:cs="黑体"/>
          <w:b/>
          <w:bCs/>
          <w:sz w:val="30"/>
          <w:szCs w:val="30"/>
          <w:highlight w:val="none"/>
          <w:u w:val="single"/>
        </w:rPr>
        <w:t>深圳市龙华建设发展集团有限公司</w:t>
      </w:r>
    </w:p>
    <w:p>
      <w:pPr>
        <w:spacing w:line="360" w:lineRule="auto"/>
        <w:ind w:firstLine="602" w:firstLineChars="200"/>
        <w:rPr>
          <w:rFonts w:ascii="黑体" w:hAnsi="黑体" w:eastAsia="黑体" w:cs="黑体"/>
          <w:b/>
          <w:bCs/>
          <w:sz w:val="30"/>
          <w:szCs w:val="30"/>
          <w:highlight w:val="none"/>
          <w:u w:val="single"/>
        </w:rPr>
      </w:pPr>
      <w:r>
        <w:rPr>
          <w:rFonts w:hint="eastAsia" w:ascii="黑体" w:hAnsi="黑体" w:eastAsia="黑体" w:cs="黑体"/>
          <w:b/>
          <w:bCs/>
          <w:sz w:val="30"/>
          <w:szCs w:val="30"/>
          <w:highlight w:val="none"/>
        </w:rPr>
        <w:t>受托单位：</w:t>
      </w:r>
      <w:r>
        <w:rPr>
          <w:rFonts w:hint="eastAsia" w:ascii="黑体" w:hAnsi="黑体" w:eastAsia="黑体" w:cs="黑体"/>
          <w:b/>
          <w:bCs/>
          <w:sz w:val="30"/>
          <w:szCs w:val="30"/>
          <w:highlight w:val="none"/>
          <w:u w:val="single"/>
        </w:rPr>
        <w:t xml:space="preserve">              </w:t>
      </w:r>
    </w:p>
    <w:p>
      <w:pPr>
        <w:spacing w:line="360" w:lineRule="auto"/>
        <w:ind w:firstLine="602" w:firstLineChars="200"/>
        <w:rPr>
          <w:rFonts w:ascii="黑体" w:hAnsi="黑体" w:eastAsia="黑体" w:cs="黑体"/>
          <w:sz w:val="30"/>
          <w:szCs w:val="30"/>
          <w:highlight w:val="none"/>
          <w:u w:val="single"/>
        </w:rPr>
      </w:pPr>
      <w:r>
        <w:rPr>
          <w:rFonts w:hint="eastAsia" w:ascii="黑体" w:hAnsi="黑体" w:eastAsia="黑体" w:cs="黑体"/>
          <w:b/>
          <w:bCs/>
          <w:sz w:val="30"/>
          <w:szCs w:val="30"/>
          <w:highlight w:val="none"/>
        </w:rPr>
        <w:t>时    间：</w:t>
      </w:r>
      <w:r>
        <w:rPr>
          <w:rFonts w:hint="eastAsia" w:ascii="黑体" w:hAnsi="黑体" w:eastAsia="黑体" w:cs="黑体"/>
          <w:b/>
          <w:bCs/>
          <w:sz w:val="30"/>
          <w:szCs w:val="30"/>
          <w:highlight w:val="none"/>
          <w:u w:val="single"/>
        </w:rPr>
        <w:t>2025年  月  日</w:t>
      </w:r>
    </w:p>
    <w:p>
      <w:pPr>
        <w:spacing w:line="540" w:lineRule="exact"/>
        <w:ind w:firstLine="422" w:firstLineChars="200"/>
        <w:rPr>
          <w:rFonts w:ascii="宋体" w:hAnsi="宋体" w:cs="宋体"/>
          <w:b/>
          <w:bCs/>
          <w:szCs w:val="21"/>
          <w:highlight w:val="none"/>
        </w:rPr>
        <w:sectPr>
          <w:pgSz w:w="11906" w:h="16838"/>
          <w:pgMar w:top="1361" w:right="1304" w:bottom="1304" w:left="1361" w:header="851" w:footer="992" w:gutter="0"/>
          <w:cols w:space="720" w:num="1"/>
          <w:docGrid w:type="lines" w:linePitch="312" w:charSpace="0"/>
        </w:sectPr>
      </w:pPr>
    </w:p>
    <w:p>
      <w:pPr>
        <w:spacing w:line="540" w:lineRule="exact"/>
        <w:jc w:val="center"/>
        <w:rPr>
          <w:rFonts w:ascii="宋体" w:hAnsi="宋体" w:cs="宋体"/>
          <w:b/>
          <w:bCs/>
          <w:sz w:val="32"/>
          <w:szCs w:val="32"/>
          <w:highlight w:val="none"/>
        </w:rPr>
      </w:pPr>
      <w:r>
        <w:rPr>
          <w:rFonts w:hint="eastAsia" w:ascii="宋体" w:hAnsi="宋体" w:cs="宋体"/>
          <w:b/>
          <w:bCs/>
          <w:sz w:val="32"/>
          <w:szCs w:val="32"/>
          <w:highlight w:val="none"/>
        </w:rPr>
        <w:t>协议书</w:t>
      </w:r>
    </w:p>
    <w:p>
      <w:pPr>
        <w:spacing w:line="360" w:lineRule="auto"/>
        <w:ind w:left="559" w:leftChars="266"/>
        <w:rPr>
          <w:rFonts w:ascii="宋体" w:hAnsi="宋体" w:cs="宋体"/>
          <w:sz w:val="24"/>
          <w:szCs w:val="24"/>
          <w:highlight w:val="none"/>
        </w:rPr>
      </w:pPr>
    </w:p>
    <w:p>
      <w:pPr>
        <w:spacing w:line="360" w:lineRule="auto"/>
        <w:ind w:left="559" w:leftChars="266"/>
        <w:rPr>
          <w:rFonts w:ascii="宋体" w:hAnsi="宋体" w:cs="宋体"/>
          <w:b/>
          <w:bCs/>
          <w:sz w:val="24"/>
          <w:szCs w:val="24"/>
          <w:highlight w:val="none"/>
          <w:u w:val="single"/>
        </w:rPr>
      </w:pPr>
      <w:r>
        <w:rPr>
          <w:rFonts w:hint="eastAsia" w:ascii="宋体" w:hAnsi="宋体" w:cs="宋体"/>
          <w:b/>
          <w:bCs/>
          <w:sz w:val="24"/>
          <w:szCs w:val="24"/>
          <w:highlight w:val="none"/>
        </w:rPr>
        <w:t>委托单位</w:t>
      </w:r>
      <w:r>
        <w:rPr>
          <w:rFonts w:hint="eastAsia" w:ascii="宋体" w:hAnsi="宋体" w:cs="宋体"/>
          <w:b/>
          <w:bCs/>
          <w:sz w:val="24"/>
          <w:szCs w:val="24"/>
          <w:highlight w:val="none"/>
          <w:u w:val="single"/>
        </w:rPr>
        <w:t>（甲方）</w:t>
      </w:r>
      <w:r>
        <w:rPr>
          <w:rFonts w:hint="eastAsia" w:ascii="宋体" w:hAnsi="宋体" w:cs="宋体"/>
          <w:b/>
          <w:bCs/>
          <w:sz w:val="24"/>
          <w:szCs w:val="24"/>
          <w:highlight w:val="none"/>
        </w:rPr>
        <w:t>：</w:t>
      </w:r>
      <w:bookmarkStart w:id="0" w:name="_Hlk196767323"/>
      <w:r>
        <w:rPr>
          <w:rFonts w:hint="eastAsia" w:ascii="宋体" w:hAnsi="宋体" w:cs="宋体"/>
          <w:b/>
          <w:bCs/>
          <w:sz w:val="24"/>
          <w:szCs w:val="24"/>
          <w:highlight w:val="none"/>
          <w:u w:val="single"/>
        </w:rPr>
        <w:t>深圳市龙华建设发展集团有限公司</w:t>
      </w:r>
      <w:bookmarkEnd w:id="0"/>
    </w:p>
    <w:p>
      <w:pPr>
        <w:spacing w:line="360" w:lineRule="auto"/>
        <w:ind w:left="559" w:leftChars="266"/>
        <w:rPr>
          <w:rFonts w:ascii="宋体" w:hAnsi="宋体" w:cs="宋体"/>
          <w:sz w:val="24"/>
          <w:szCs w:val="24"/>
          <w:highlight w:val="none"/>
          <w:u w:val="single"/>
        </w:rPr>
      </w:pPr>
      <w:r>
        <w:rPr>
          <w:rFonts w:hint="eastAsia" w:ascii="宋体" w:hAnsi="宋体" w:cs="宋体"/>
          <w:b/>
          <w:bCs/>
          <w:sz w:val="24"/>
          <w:szCs w:val="24"/>
          <w:highlight w:val="none"/>
        </w:rPr>
        <w:t>受托单位</w:t>
      </w:r>
      <w:r>
        <w:rPr>
          <w:rFonts w:hint="eastAsia" w:ascii="宋体" w:hAnsi="宋体" w:cs="宋体"/>
          <w:b/>
          <w:bCs/>
          <w:sz w:val="24"/>
          <w:szCs w:val="24"/>
          <w:highlight w:val="none"/>
          <w:u w:val="single"/>
        </w:rPr>
        <w:t>（乙方）</w:t>
      </w:r>
      <w:r>
        <w:rPr>
          <w:rFonts w:hint="eastAsia" w:ascii="宋体" w:hAnsi="宋体" w:cs="宋体"/>
          <w:b/>
          <w:bCs/>
          <w:sz w:val="24"/>
          <w:szCs w:val="24"/>
          <w:highlight w:val="none"/>
        </w:rPr>
        <w:t>：</w:t>
      </w:r>
      <w:r>
        <w:rPr>
          <w:rFonts w:hint="eastAsia" w:ascii="宋体" w:hAnsi="宋体" w:cs="宋体"/>
          <w:b/>
          <w:bCs/>
          <w:sz w:val="24"/>
          <w:szCs w:val="24"/>
          <w:highlight w:val="none"/>
          <w:u w:val="singl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招标投标法》、《中华人民共和国民法典》、《中华人民共和国政府采购法》、《深圳经济特区政府采购条例》及其实施细则等相关法律法规规章，经甲方和乙方友好协商，遵循自愿、平等、诚实信用原则，就</w:t>
      </w:r>
      <w:r>
        <w:rPr>
          <w:rFonts w:hint="eastAsia" w:ascii="宋体" w:hAnsi="宋体" w:cs="宋体"/>
          <w:sz w:val="24"/>
          <w:szCs w:val="24"/>
          <w:highlight w:val="none"/>
          <w:u w:val="single"/>
        </w:rPr>
        <w:t>深圳市龙华建设发展集团有限公司“十五五”规划编制服务</w:t>
      </w:r>
      <w:r>
        <w:rPr>
          <w:rFonts w:hint="eastAsia" w:ascii="宋体" w:hAnsi="宋体" w:cs="宋体"/>
          <w:sz w:val="24"/>
          <w:szCs w:val="24"/>
          <w:highlight w:val="none"/>
        </w:rPr>
        <w:t>事宜，双方协商一致，达成以下合同条款：</w:t>
      </w:r>
    </w:p>
    <w:p>
      <w:pPr>
        <w:adjustRightInd w:val="0"/>
        <w:snapToGrid w:val="0"/>
        <w:spacing w:line="360" w:lineRule="auto"/>
        <w:ind w:firstLine="482" w:firstLineChars="200"/>
        <w:outlineLvl w:val="1"/>
        <w:rPr>
          <w:rFonts w:ascii="宋体" w:hAnsi="宋体" w:cs="宋体"/>
          <w:b/>
          <w:bCs/>
          <w:sz w:val="24"/>
          <w:szCs w:val="24"/>
          <w:highlight w:val="none"/>
        </w:rPr>
      </w:pPr>
      <w:r>
        <w:rPr>
          <w:rFonts w:hint="eastAsia" w:ascii="宋体" w:hAnsi="宋体" w:cs="宋体"/>
          <w:b/>
          <w:bCs/>
          <w:sz w:val="24"/>
          <w:szCs w:val="24"/>
          <w:highlight w:val="none"/>
        </w:rPr>
        <w:t>一、工作内容</w:t>
      </w:r>
    </w:p>
    <w:p>
      <w:pPr>
        <w:pStyle w:val="7"/>
        <w:adjustRightInd w:val="0"/>
        <w:snapToGrid w:val="0"/>
        <w:spacing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乙方接受委托为甲方提供</w:t>
      </w:r>
      <w:r>
        <w:rPr>
          <w:rFonts w:hint="eastAsia"/>
          <w:szCs w:val="24"/>
          <w:highlight w:val="none"/>
        </w:rPr>
        <w:t>“十五五”规划编制服务，服务范围</w:t>
      </w:r>
      <w:r>
        <w:rPr>
          <w:rFonts w:hint="eastAsia" w:asciiTheme="minorEastAsia" w:hAnsiTheme="minorEastAsia" w:eastAsiaTheme="minorEastAsia" w:cstheme="minorEastAsia"/>
          <w:szCs w:val="24"/>
          <w:highlight w:val="none"/>
        </w:rPr>
        <w:t>包括但不限如下内容（规划编制实施期间甲方有权根据实际情况对具体细节进行调整）：</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（一）战略环境与对标研究</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深入分析研判“十五五”时期经济社会发展环境、发展趋势，研究深圳市龙华建设发展集团有限公司（以下简称“集团”）与上级战略衔接与资源匹配分析，组织深入调研部分标杆国企等工作，形成《标杆国企发展对标与转型案例分析》。</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（二）规划研究设计与编制</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形成《规划大纲》及总体编制思路；在规划中明确集团在“十五五”时期定位，设计核心战略目标与发展策略，细化主业板块发展思路，研究管控优化方案、资源整合方案、融资方案，设计业务转型路径、投资与运营模式，明确实施保障与寻求政策支持等内容，形成《集团“十五五”规划》《转型思路及新业务研究》《规划目标落实进度安排表》初稿，与上述（一）同步进行。</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（三）征询优化与成稿送审</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组织集团内外部意见征询会，汇总修订意见并调整优化成果，组织完成专家评审，形成《集团“十五五”规划》及附件送审稿，推进集团内部审议程序；集团审议完成后协助报送区国资审核，并协助推进该规划在区层面通过。</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（四）完善规划</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根据区级后续出台的“十五五”相关规划，并结合集团发展实际需要对《集团“十五五”规划》进一步完善。</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（五）宣贯辅导</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该规划完善并在区层面获批或备案后，协助规划印发与组织集团领导班子、总部中层管理与下属公司班子成员进行</w:t>
      </w:r>
      <w:r>
        <w:rPr>
          <w:rFonts w:ascii="宋体" w:hAnsi="宋体" w:cs="宋体"/>
          <w:sz w:val="24"/>
          <w:szCs w:val="24"/>
          <w:highlight w:val="none"/>
        </w:rPr>
        <w:t>2次宣贯辅导。</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二、工作要求及成果要求</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791"/>
        <w:gridCol w:w="2782"/>
        <w:gridCol w:w="230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29" w:type="dxa"/>
            <w:vAlign w:val="center"/>
          </w:tcPr>
          <w:p>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791" w:type="dxa"/>
            <w:vAlign w:val="center"/>
          </w:tcPr>
          <w:p>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工作内容</w:t>
            </w:r>
          </w:p>
        </w:tc>
        <w:tc>
          <w:tcPr>
            <w:tcW w:w="2782" w:type="dxa"/>
            <w:vAlign w:val="center"/>
          </w:tcPr>
          <w:p>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成果要求</w:t>
            </w:r>
          </w:p>
        </w:tc>
        <w:tc>
          <w:tcPr>
            <w:tcW w:w="2303" w:type="dxa"/>
            <w:vAlign w:val="center"/>
          </w:tcPr>
          <w:p>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提交时间</w:t>
            </w:r>
          </w:p>
        </w:tc>
        <w:tc>
          <w:tcPr>
            <w:tcW w:w="1037" w:type="dxa"/>
            <w:vAlign w:val="center"/>
          </w:tcPr>
          <w:p>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1</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规划编制实施准备</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《集团“十五五”规划大纲》，拟定总体编制思路。</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2025年6月1日前</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战略环境与对标研究</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《标杆国企发展对标与转型案例分析》。</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2025年6月15日前</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3</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规划研究设计与编制</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《集团“十五五”规划》《转型思路及新业务研究》《规划目标落实进度安排表》。</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2025年7月1日前</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4</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征询优化</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征询集团内部各单位意见，组织完成内</w:t>
            </w:r>
            <w:bookmarkStart w:id="1" w:name="_GoBack"/>
            <w:bookmarkEnd w:id="1"/>
            <w:r>
              <w:rPr>
                <w:rFonts w:hint="eastAsia" w:ascii="宋体" w:hAnsi="宋体" w:cs="宋体"/>
                <w:sz w:val="24"/>
                <w:szCs w:val="24"/>
                <w:highlight w:val="none"/>
              </w:rPr>
              <w:t>部专题研讨会。</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2025年8月1日前</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5</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专家评审及修订成稿</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组织完成专家评审会，修订完成规划及附件送审稿。</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2025年9月1日前</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6</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协助送审</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协助完成规划及附件通过集团内部审议，并根据审议意见完善材料。</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集团内部出具审议意见后一周内修订完善</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7</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协助上报及完善规划</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根据上级主管部门审核意见完善材料。</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上级主管部门每次反馈意见</w:t>
            </w:r>
            <w:r>
              <w:rPr>
                <w:rFonts w:ascii="宋体" w:hAnsi="宋体" w:cs="宋体"/>
                <w:sz w:val="24"/>
                <w:szCs w:val="24"/>
                <w:highlight w:val="none"/>
              </w:rPr>
              <w:t>3日内完成修改</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9" w:type="dxa"/>
            <w:vAlign w:val="center"/>
          </w:tcPr>
          <w:p>
            <w:pPr>
              <w:adjustRightInd w:val="0"/>
              <w:snapToGrid w:val="0"/>
              <w:spacing w:line="360" w:lineRule="auto"/>
              <w:jc w:val="center"/>
              <w:rPr>
                <w:rFonts w:ascii="宋体" w:hAnsi="宋体" w:cs="宋体"/>
                <w:sz w:val="24"/>
                <w:szCs w:val="24"/>
                <w:highlight w:val="none"/>
              </w:rPr>
            </w:pPr>
            <w:r>
              <w:rPr>
                <w:rFonts w:ascii="宋体" w:hAnsi="宋体" w:cs="宋体"/>
                <w:sz w:val="24"/>
                <w:szCs w:val="24"/>
                <w:highlight w:val="none"/>
              </w:rPr>
              <w:t>8</w:t>
            </w:r>
          </w:p>
        </w:tc>
        <w:tc>
          <w:tcPr>
            <w:tcW w:w="1791"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宣贯辅导</w:t>
            </w:r>
          </w:p>
        </w:tc>
        <w:tc>
          <w:tcPr>
            <w:tcW w:w="2782"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组织集团领导班子、总部中层管理与下属公司班子成员进行</w:t>
            </w:r>
            <w:r>
              <w:rPr>
                <w:rFonts w:ascii="宋体" w:hAnsi="宋体" w:cs="宋体"/>
                <w:sz w:val="24"/>
                <w:szCs w:val="24"/>
                <w:highlight w:val="none"/>
              </w:rPr>
              <w:t>2次宣贯辅导。</w:t>
            </w:r>
          </w:p>
        </w:tc>
        <w:tc>
          <w:tcPr>
            <w:tcW w:w="2303" w:type="dxa"/>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视规划在区层面获批或备案时间而定</w:t>
            </w:r>
          </w:p>
        </w:tc>
        <w:tc>
          <w:tcPr>
            <w:tcW w:w="1037" w:type="dxa"/>
            <w:vAlign w:val="center"/>
          </w:tcPr>
          <w:p>
            <w:pPr>
              <w:adjustRightInd w:val="0"/>
              <w:snapToGrid w:val="0"/>
              <w:spacing w:line="360" w:lineRule="auto"/>
              <w:jc w:val="center"/>
              <w:rPr>
                <w:rFonts w:ascii="宋体" w:hAnsi="宋体" w:cs="宋体"/>
                <w:sz w:val="24"/>
                <w:szCs w:val="24"/>
                <w:highlight w:val="none"/>
              </w:rPr>
            </w:pPr>
          </w:p>
        </w:tc>
      </w:tr>
    </w:tbl>
    <w:p>
      <w:pPr>
        <w:spacing w:line="520" w:lineRule="exact"/>
        <w:ind w:firstLine="487" w:firstLineChars="202"/>
        <w:jc w:val="left"/>
        <w:rPr>
          <w:rFonts w:ascii="宋体" w:hAnsi="宋体" w:cs="宋体"/>
          <w:b/>
          <w:bCs/>
          <w:sz w:val="24"/>
          <w:szCs w:val="24"/>
          <w:highlight w:val="none"/>
        </w:rPr>
      </w:pPr>
      <w:r>
        <w:rPr>
          <w:rFonts w:hint="eastAsia" w:ascii="宋体" w:hAnsi="宋体" w:cs="宋体"/>
          <w:b/>
          <w:bCs/>
          <w:sz w:val="24"/>
          <w:szCs w:val="24"/>
          <w:highlight w:val="none"/>
        </w:rPr>
        <w:t>三、组成合同的文件及优先次序</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构成本合同的文件可视为是能互相说明的，如果合同文件存在歧义或不一致，则根据如下优先次序判断：</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 本合同签订后双方新签订的补充协议（如有）</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 本服务合同及附件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 中标通知书</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 投标文件澄清纪要或承诺书（如有）</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 投标书及其附件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 招标文件及补遗</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3.7标准、规范及有关技术文件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 甲乙方有关工程的洽商、变更等书面协议或文件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上述各项合同文件包括甲乙双方就该项合同文件所作出的补充和修改，属于同一类内容的文件，应以最新签署的为准。</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四、合同服务期限</w:t>
      </w:r>
    </w:p>
    <w:p>
      <w:pPr>
        <w:spacing w:after="200" w:line="360" w:lineRule="auto"/>
        <w:ind w:firstLine="480" w:firstLineChars="200"/>
        <w:rPr>
          <w:rFonts w:ascii="宋体" w:hAnsi="宋体" w:cs="宋体"/>
          <w:bCs/>
          <w:kern w:val="0"/>
          <w:sz w:val="24"/>
          <w:szCs w:val="24"/>
          <w:highlight w:val="none"/>
        </w:rPr>
      </w:pPr>
      <w:r>
        <w:rPr>
          <w:rFonts w:hint="eastAsia" w:ascii="宋体" w:hAnsi="宋体" w:cs="宋体"/>
          <w:sz w:val="24"/>
          <w:szCs w:val="24"/>
          <w:highlight w:val="none"/>
        </w:rPr>
        <w:t>本合同服务期限为：自</w:t>
      </w:r>
      <w:r>
        <w:rPr>
          <w:rFonts w:hint="eastAsia" w:asciiTheme="minorEastAsia" w:hAnsiTheme="minorEastAsia" w:eastAsiaTheme="minorEastAsia" w:cstheme="minorEastAsia"/>
          <w:sz w:val="24"/>
          <w:szCs w:val="24"/>
          <w:highlight w:val="none"/>
          <w:u w:val="single"/>
        </w:rPr>
        <w:t>中标通知书发放</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2025年12月（暂定）</w:t>
      </w:r>
      <w:r>
        <w:rPr>
          <w:rFonts w:hint="eastAsia" w:asciiTheme="minorEastAsia" w:hAnsiTheme="minorEastAsia" w:eastAsiaTheme="minorEastAsia" w:cstheme="minorEastAsia"/>
          <w:sz w:val="24"/>
          <w:szCs w:val="24"/>
          <w:highlight w:val="none"/>
        </w:rPr>
        <w:t>，具体结束时间以成果文件在区层面报批通过或备案并完成宣贯辅导工作为止。</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五、合同价款及支付方式</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合同价款</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5.1.1本合同为固定总价合同。合同总价款为人民币（含税）</w:t>
      </w:r>
      <w:r>
        <w:rPr>
          <w:rFonts w:hint="eastAsia" w:ascii="宋体" w:hAnsi="宋体" w:cs="宋体"/>
          <w:sz w:val="24"/>
          <w:szCs w:val="24"/>
          <w:highlight w:val="none"/>
          <w:u w:val="single"/>
        </w:rPr>
        <w:t>*******</w:t>
      </w:r>
      <w:r>
        <w:rPr>
          <w:rFonts w:hint="eastAsia" w:ascii="宋体" w:hAnsi="宋体" w:cs="宋体"/>
          <w:sz w:val="24"/>
          <w:szCs w:val="24"/>
          <w:highlight w:val="none"/>
        </w:rPr>
        <w:t>（小写： ¥</w:t>
      </w:r>
      <w:r>
        <w:rPr>
          <w:rFonts w:hint="eastAsia" w:ascii="宋体" w:hAnsi="宋体" w:cs="宋体"/>
          <w:sz w:val="24"/>
          <w:szCs w:val="24"/>
          <w:highlight w:val="none"/>
          <w:u w:val="single"/>
        </w:rPr>
        <w:t>*****</w:t>
      </w:r>
      <w:r>
        <w:rPr>
          <w:rFonts w:hint="eastAsia" w:ascii="宋体" w:hAnsi="宋体" w:cs="宋体"/>
          <w:sz w:val="24"/>
          <w:szCs w:val="24"/>
          <w:highlight w:val="none"/>
        </w:rPr>
        <w:t>，</w:t>
      </w:r>
      <w:r>
        <w:rPr>
          <w:rFonts w:hint="eastAsia" w:ascii="宋体" w:hAnsi="宋体" w:cs="宋体"/>
          <w:sz w:val="24"/>
          <w:highlight w:val="none"/>
          <w:u w:val="single"/>
        </w:rPr>
        <w:t>增值税率：6%</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5.1.2本合同价款</w:t>
      </w:r>
      <w:r>
        <w:rPr>
          <w:rFonts w:hint="eastAsia" w:ascii="宋体" w:hAnsi="宋体" w:cs="宋体"/>
          <w:sz w:val="24"/>
          <w:szCs w:val="24"/>
          <w:highlight w:val="none"/>
          <w:lang w:val="en-US" w:eastAsia="zh-CN"/>
        </w:rPr>
        <w:t>总价包干</w:t>
      </w:r>
      <w:r>
        <w:rPr>
          <w:rFonts w:hint="eastAsia" w:ascii="宋体" w:hAnsi="宋体" w:cs="宋体"/>
          <w:sz w:val="24"/>
          <w:szCs w:val="24"/>
          <w:highlight w:val="none"/>
        </w:rPr>
        <w:t>，包括技术服务费、知识产权使用费、资料档案费、需求调研、方案规划；培训费用；后续服务等费用，以及服务过程中产生的政策咨询、技术支持等费用；以及服务人员的食宿、交通、办公、成果印刷、邮寄、税费等所有费用。本合同价款包括乙方履行本合同义务所发生的一切费用、支出和以各种方式寄送技术资料到甲方办公室所发生的费用。在合同实施期间，除另签补充合同外，甲方不接受乙方以任何理由、任何名目提出增加费用的要求。</w:t>
      </w:r>
    </w:p>
    <w:p>
      <w:pPr>
        <w:pStyle w:val="17"/>
        <w:adjustRightInd w:val="0"/>
        <w:snapToGrid w:val="0"/>
        <w:ind w:firstLine="480" w:firstLineChars="200"/>
        <w:rPr>
          <w:highlight w:val="none"/>
        </w:rPr>
      </w:pPr>
      <w:r>
        <w:rPr>
          <w:rFonts w:hint="eastAsia" w:ascii="宋体" w:hAnsi="宋体" w:cs="宋体"/>
          <w:sz w:val="24"/>
          <w:highlight w:val="none"/>
        </w:rPr>
        <w:t>5.1.3如因国家政策导致增值税率发生变化的，不含增值税金额保持不变，合同未执行部分含税价按变化后的税率执行。</w:t>
      </w:r>
    </w:p>
    <w:p>
      <w:pPr>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 支付方式</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5.2.1</w:t>
      </w:r>
      <w:r>
        <w:rPr>
          <w:rFonts w:hint="eastAsia" w:ascii="宋体" w:hAnsi="宋体" w:cs="Times New Roman"/>
          <w:sz w:val="24"/>
          <w:szCs w:val="24"/>
          <w:highlight w:val="none"/>
        </w:rPr>
        <w:t>本项目无预付款。</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Times New Roman"/>
          <w:sz w:val="24"/>
          <w:szCs w:val="24"/>
          <w:highlight w:val="none"/>
        </w:rPr>
        <w:t>5.2.2进度款支付：</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（1）双方正式签订合同后，乙方提供规划编制实施方案及规划大纲并经甲方确认后，甲方凭乙方提供的等额有效发票支付乙方合同总价款的30%；</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（2）乙方完成规划及相关附件送审稿并经甲方内部审议通过后，甲方凭乙方提供的等额有效发票支付乙方合同总价款的40%；</w:t>
      </w: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（3）乙方进一步完善规划使规划在区层面报批通过或备案并完成宣贯辅导工作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且办理完成结算流程后，</w:t>
      </w:r>
      <w:r>
        <w:rPr>
          <w:rFonts w:hint="eastAsia" w:ascii="宋体" w:hAnsi="宋体" w:cs="宋体"/>
          <w:sz w:val="24"/>
          <w:szCs w:val="24"/>
          <w:highlight w:val="none"/>
        </w:rPr>
        <w:t>甲方凭乙方提供的等额有效发票至</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结算审定价的100%</w:t>
      </w:r>
      <w:r>
        <w:rPr>
          <w:rFonts w:hint="eastAsia" w:ascii="宋体" w:hAnsi="宋体" w:cs="宋体"/>
          <w:sz w:val="24"/>
          <w:szCs w:val="24"/>
          <w:highlight w:val="none"/>
          <w:lang w:eastAsia="zh-CN"/>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5.3付款要求</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甲方支付</w:t>
      </w:r>
      <w:r>
        <w:rPr>
          <w:rFonts w:hint="eastAsia" w:ascii="宋体" w:hAnsi="宋体" w:cs="宋体"/>
          <w:color w:val="auto"/>
          <w:sz w:val="24"/>
          <w:szCs w:val="24"/>
          <w:highlight w:val="none"/>
          <w:lang w:val="en-US" w:eastAsia="zh-CN"/>
        </w:rPr>
        <w:t>费用</w:t>
      </w:r>
      <w:r>
        <w:rPr>
          <w:rFonts w:hint="eastAsia" w:ascii="宋体" w:hAnsi="宋体" w:cs="宋体"/>
          <w:sz w:val="24"/>
          <w:szCs w:val="24"/>
          <w:highlight w:val="none"/>
        </w:rPr>
        <w:t>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乙方需向甲方</w:t>
      </w:r>
      <w:r>
        <w:rPr>
          <w:rFonts w:hint="eastAsia" w:ascii="宋体" w:hAnsi="宋体" w:cs="宋体"/>
          <w:sz w:val="24"/>
          <w:szCs w:val="24"/>
          <w:highlight w:val="none"/>
        </w:rPr>
        <w:t>提供</w:t>
      </w:r>
      <w:r>
        <w:rPr>
          <w:rFonts w:hint="eastAsia" w:ascii="宋体" w:hAnsi="宋体" w:cs="宋体"/>
          <w:sz w:val="24"/>
          <w:szCs w:val="24"/>
          <w:highlight w:val="none"/>
          <w:lang w:val="en-US" w:eastAsia="zh-CN"/>
        </w:rPr>
        <w:t>等额的增值税专用</w:t>
      </w:r>
      <w:r>
        <w:rPr>
          <w:rFonts w:hint="eastAsia" w:ascii="宋体" w:hAnsi="宋体" w:cs="宋体"/>
          <w:sz w:val="24"/>
          <w:szCs w:val="24"/>
          <w:highlight w:val="none"/>
        </w:rPr>
        <w:t>发票，发票金额以实际付款金额为准。如乙方未按约定提供相应金额的合法</w:t>
      </w:r>
      <w:r>
        <w:rPr>
          <w:rFonts w:hint="eastAsia" w:ascii="宋体" w:hAnsi="宋体" w:cs="宋体"/>
          <w:sz w:val="24"/>
          <w:szCs w:val="24"/>
          <w:highlight w:val="none"/>
          <w:lang w:val="en-US" w:eastAsia="zh-CN"/>
        </w:rPr>
        <w:t>的增值税专用</w:t>
      </w:r>
      <w:r>
        <w:rPr>
          <w:rFonts w:hint="eastAsia" w:ascii="宋体" w:hAnsi="宋体" w:cs="宋体"/>
          <w:sz w:val="24"/>
          <w:szCs w:val="24"/>
          <w:highlight w:val="none"/>
        </w:rPr>
        <w:t>发票及相应付款申请资料，甲方有权不予支付款项，且不承担任何法律责任。乙方应在发票开具后10日内提交甲方，延期提交的，甲方有权拒收且不付款，且不承担任何法律责任。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总价款的30%）向乙方支付服务款时，因票据贴现产生的利息，由乙方承担。乙方开户银行、账号等如有变更，</w:t>
      </w:r>
      <w:r>
        <w:rPr>
          <w:rStyle w:val="21"/>
          <w:rFonts w:hint="eastAsia" w:ascii="宋体" w:hAnsi="宋体" w:eastAsia="宋体" w:cs="宋体"/>
          <w:b w:val="0"/>
          <w:bCs/>
          <w:sz w:val="24"/>
          <w:szCs w:val="24"/>
          <w:highlight w:val="none"/>
          <w:shd w:val="clear" w:color="auto" w:fill="FFFFFF"/>
        </w:rPr>
        <w:t>应在本合同规定的付款期限前1</w:t>
      </w:r>
      <w:r>
        <w:rPr>
          <w:rStyle w:val="21"/>
          <w:rFonts w:hint="eastAsia" w:ascii="宋体" w:hAnsi="宋体" w:eastAsia="宋体" w:cs="宋体"/>
          <w:b w:val="0"/>
          <w:bCs/>
          <w:sz w:val="24"/>
          <w:szCs w:val="24"/>
          <w:highlight w:val="none"/>
          <w:shd w:val="clear" w:color="auto" w:fill="FFFFFF"/>
          <w:lang w:val="en-US" w:eastAsia="zh-CN"/>
        </w:rPr>
        <w:t>5</w:t>
      </w:r>
      <w:r>
        <w:rPr>
          <w:rStyle w:val="21"/>
          <w:rFonts w:hint="eastAsia" w:ascii="宋体" w:hAnsi="宋体" w:eastAsia="宋体" w:cs="宋体"/>
          <w:b w:val="0"/>
          <w:bCs/>
          <w:sz w:val="24"/>
          <w:szCs w:val="24"/>
          <w:highlight w:val="none"/>
          <w:shd w:val="clear" w:color="auto" w:fill="FFFFFF"/>
        </w:rPr>
        <w:t>天</w:t>
      </w:r>
      <w:r>
        <w:rPr>
          <w:rFonts w:hint="eastAsia" w:ascii="宋体" w:hAnsi="宋体" w:cs="宋体"/>
          <w:sz w:val="24"/>
          <w:szCs w:val="24"/>
          <w:highlight w:val="none"/>
          <w:lang w:eastAsia="zh-CN"/>
        </w:rPr>
        <w:t>，</w:t>
      </w:r>
      <w:r>
        <w:rPr>
          <w:rFonts w:hint="eastAsia" w:ascii="宋体" w:hAnsi="宋体" w:cs="宋体"/>
          <w:sz w:val="24"/>
          <w:szCs w:val="24"/>
          <w:highlight w:val="none"/>
        </w:rPr>
        <w:t>以书面方式通知甲方。如乙方未按合同约定及时通知甲方，由此导致的不利后果及损失均由乙方承担，给甲方造成经济损失的需予以赔偿</w:t>
      </w:r>
      <w:r>
        <w:rPr>
          <w:rStyle w:val="21"/>
          <w:rFonts w:hint="eastAsia" w:ascii="宋体" w:hAnsi="宋体" w:eastAsia="宋体" w:cs="宋体"/>
          <w:b w:val="0"/>
          <w:bCs/>
          <w:sz w:val="24"/>
          <w:szCs w:val="24"/>
          <w:highlight w:val="none"/>
          <w:shd w:val="clear" w:color="auto" w:fill="FFFFFF"/>
        </w:rPr>
        <w:t>（包括但不限于向第三方索赔而支付的诉讼费、律师费、财产保全费、调查费、执行费等）</w:t>
      </w:r>
      <w:r>
        <w:rPr>
          <w:rFonts w:hint="eastAsia" w:ascii="宋体" w:hAnsi="宋体" w:cs="宋体"/>
          <w:sz w:val="24"/>
          <w:szCs w:val="24"/>
          <w:highlight w:val="none"/>
        </w:rPr>
        <w:t>。</w:t>
      </w:r>
    </w:p>
    <w:p>
      <w:pPr>
        <w:widowControl/>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六、乙方人员要求</w:t>
      </w:r>
    </w:p>
    <w:p>
      <w:pPr>
        <w:spacing w:line="360" w:lineRule="auto"/>
        <w:ind w:firstLine="480" w:firstLineChars="200"/>
        <w:rPr>
          <w:rFonts w:ascii="宋体" w:hAnsi="宋体" w:cs="宋体"/>
          <w:sz w:val="24"/>
          <w:highlight w:val="none"/>
        </w:rPr>
      </w:pPr>
      <w:r>
        <w:rPr>
          <w:rFonts w:hint="eastAsia" w:ascii="宋体" w:hAnsi="宋体"/>
          <w:sz w:val="24"/>
          <w:highlight w:val="none"/>
        </w:rPr>
        <w:t>乙方应按照投</w:t>
      </w:r>
      <w:r>
        <w:rPr>
          <w:rFonts w:hint="eastAsia" w:ascii="宋体" w:hAnsi="宋体" w:cs="宋体"/>
          <w:sz w:val="24"/>
          <w:highlight w:val="none"/>
        </w:rPr>
        <w:t>标</w:t>
      </w:r>
      <w:r>
        <w:rPr>
          <w:rFonts w:hint="eastAsia" w:ascii="宋体" w:hAnsi="宋体"/>
          <w:sz w:val="24"/>
          <w:highlight w:val="none"/>
        </w:rPr>
        <w:t>文件所承</w:t>
      </w:r>
      <w:r>
        <w:rPr>
          <w:rFonts w:hint="eastAsia" w:ascii="宋体" w:hAnsi="宋体" w:cs="宋体"/>
          <w:sz w:val="24"/>
          <w:highlight w:val="none"/>
        </w:rPr>
        <w:t>诺、配置</w:t>
      </w:r>
      <w:r>
        <w:rPr>
          <w:rFonts w:hint="eastAsia" w:ascii="宋体" w:hAnsi="宋体"/>
          <w:sz w:val="24"/>
          <w:highlight w:val="none"/>
        </w:rPr>
        <w:t>的</w:t>
      </w:r>
      <w:r>
        <w:rPr>
          <w:rFonts w:hint="eastAsia" w:ascii="宋体" w:hAnsi="宋体" w:cs="宋体"/>
          <w:sz w:val="24"/>
          <w:highlight w:val="none"/>
        </w:rPr>
        <w:t>团队</w:t>
      </w:r>
      <w:r>
        <w:rPr>
          <w:rFonts w:hint="eastAsia" w:ascii="宋体" w:hAnsi="宋体"/>
          <w:sz w:val="24"/>
          <w:highlight w:val="none"/>
        </w:rPr>
        <w:t>人</w:t>
      </w:r>
      <w:r>
        <w:rPr>
          <w:rFonts w:hint="eastAsia" w:ascii="宋体" w:hAnsi="宋体" w:cs="宋体"/>
          <w:sz w:val="24"/>
          <w:highlight w:val="none"/>
        </w:rPr>
        <w:t>员</w:t>
      </w:r>
      <w:r>
        <w:rPr>
          <w:rFonts w:hint="eastAsia" w:ascii="宋体" w:hAnsi="宋体"/>
          <w:sz w:val="24"/>
          <w:highlight w:val="none"/>
        </w:rPr>
        <w:t>完成本</w:t>
      </w:r>
      <w:r>
        <w:rPr>
          <w:rFonts w:hint="eastAsia" w:ascii="宋体" w:hAnsi="宋体" w:cs="宋体"/>
          <w:sz w:val="24"/>
          <w:highlight w:val="none"/>
        </w:rPr>
        <w:t>项</w:t>
      </w:r>
      <w:r>
        <w:rPr>
          <w:rFonts w:hint="eastAsia" w:ascii="宋体" w:hAnsi="宋体"/>
          <w:sz w:val="24"/>
          <w:highlight w:val="none"/>
        </w:rPr>
        <w:t>目的委托</w:t>
      </w:r>
      <w:r>
        <w:rPr>
          <w:rFonts w:hint="eastAsia" w:ascii="宋体" w:hAnsi="宋体" w:cs="宋体"/>
          <w:sz w:val="24"/>
          <w:highlight w:val="none"/>
        </w:rPr>
        <w:t>咨询</w:t>
      </w:r>
      <w:r>
        <w:rPr>
          <w:rFonts w:hint="eastAsia" w:ascii="宋体" w:hAnsi="宋体"/>
          <w:sz w:val="24"/>
          <w:highlight w:val="none"/>
        </w:rPr>
        <w:t>工作，未征得甲方同意的前提下不得</w:t>
      </w:r>
      <w:r>
        <w:rPr>
          <w:rFonts w:hint="eastAsia" w:ascii="宋体" w:hAnsi="宋体" w:cs="宋体"/>
          <w:sz w:val="24"/>
          <w:highlight w:val="none"/>
        </w:rPr>
        <w:t>变</w:t>
      </w:r>
      <w:r>
        <w:rPr>
          <w:rFonts w:hint="eastAsia" w:ascii="宋体" w:hAnsi="宋体"/>
          <w:sz w:val="24"/>
          <w:highlight w:val="none"/>
        </w:rPr>
        <w:t>更</w:t>
      </w:r>
      <w:r>
        <w:rPr>
          <w:rFonts w:hint="eastAsia" w:ascii="宋体" w:hAnsi="宋体" w:cs="宋体"/>
          <w:sz w:val="24"/>
          <w:highlight w:val="none"/>
        </w:rPr>
        <w:t>项目</w:t>
      </w:r>
      <w:r>
        <w:rPr>
          <w:rFonts w:hint="eastAsia" w:ascii="宋体" w:hAnsi="宋体"/>
          <w:sz w:val="24"/>
          <w:highlight w:val="none"/>
        </w:rPr>
        <w:t>人</w:t>
      </w:r>
      <w:r>
        <w:rPr>
          <w:rFonts w:hint="eastAsia" w:ascii="宋体" w:hAnsi="宋体" w:cs="宋体"/>
          <w:sz w:val="24"/>
          <w:highlight w:val="none"/>
        </w:rPr>
        <w:t>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 乙方人员组织架构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项目负责人：</w:t>
      </w:r>
      <w:r>
        <w:rPr>
          <w:rFonts w:hint="eastAsia" w:ascii="宋体" w:hAnsi="宋体" w:cs="宋体"/>
          <w:sz w:val="24"/>
          <w:szCs w:val="24"/>
          <w:highlight w:val="none"/>
          <w:u w:val="single"/>
        </w:rPr>
        <w:t>****</w:t>
      </w:r>
      <w:r>
        <w:rPr>
          <w:rFonts w:hint="eastAsia" w:ascii="宋体" w:hAnsi="宋体" w:cs="宋体"/>
          <w:sz w:val="24"/>
          <w:szCs w:val="24"/>
          <w:highlight w:val="none"/>
        </w:rPr>
        <w:t>，身份证号：</w:t>
      </w:r>
      <w:r>
        <w:rPr>
          <w:rFonts w:hint="eastAsia" w:ascii="宋体" w:hAnsi="宋体" w:cs="宋体"/>
          <w:sz w:val="24"/>
          <w:szCs w:val="24"/>
          <w:highlight w:val="none"/>
          <w:u w:val="single"/>
        </w:rPr>
        <w:t>***********</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其他人员要求:项目组服务人员必须从本项目投标文件列明的人员中安排，不得另行安排其他人员，确需更换的，应书面向甲方申请，经甲方批准同意后方可更换。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人员配置要求：甲方有权根据本次项目的实际工作情况，要求乙方在现有的人员配备中增加人员投入或增加常驻人员，乙方须积极配合，同时乙方应将此部分服务费用综合考虑在总报价中，甲方不再增加任何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6.1.2乙方根据项目特点从投标文件所报人员中组建项目服务工作团队，制定工作计划。团队人员原则上必须从所报人员中安排，所报人员不足时可增加，如需更换或增加人员，应提前 30 天以书面报告形式向甲方提出申请，经批准同意后方可更换或增加。更换或增加后的项目负责人及各专业技术人员的资格、阅历及经验等不得低于招标文件中关于项目负责人及各专业技术人员的要求。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 服务团队的实名制管理要求</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乙方及乙方项目服务团队成员应按照甲方实名制管理等相关要求，真实提供相应资料和信息，确保巡查过程无冒名顶替等情况，恪守职业道德，遵纪守法，廉洁敬业并接受甲方不定期检查。</w:t>
      </w:r>
    </w:p>
    <w:p>
      <w:pPr>
        <w:widowControl/>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七、双方的权利义务</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 甲方</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7.1.1 甲方指定</w:t>
      </w:r>
      <w:r>
        <w:rPr>
          <w:rFonts w:hint="eastAsia" w:ascii="宋体" w:hAnsi="宋体" w:cs="宋体"/>
          <w:sz w:val="24"/>
          <w:szCs w:val="24"/>
          <w:highlight w:val="none"/>
          <w:u w:val="single"/>
        </w:rPr>
        <w:t xml:space="preserve"> *** </w:t>
      </w:r>
      <w:r>
        <w:rPr>
          <w:rFonts w:hint="eastAsia" w:ascii="宋体" w:hAnsi="宋体" w:cs="宋体"/>
          <w:sz w:val="24"/>
          <w:szCs w:val="24"/>
          <w:highlight w:val="none"/>
        </w:rPr>
        <w:t>为本项目的甲方对接人，代表甲方与乙方接洽并负责本项目工作内容的协调、发出指令和接收乙方的各项工作成果文件。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7.1.2甲方有权利对乙方在合作范围内的项目进行监督。</w:t>
      </w:r>
    </w:p>
    <w:p>
      <w:pPr>
        <w:pStyle w:val="2"/>
        <w:adjustRightInd w:val="0"/>
        <w:snapToGrid w:val="0"/>
        <w:spacing w:line="360" w:lineRule="auto"/>
        <w:ind w:left="0" w:firstLine="480" w:firstLineChars="200"/>
        <w:rPr>
          <w:sz w:val="24"/>
          <w:highlight w:val="none"/>
          <w:lang w:eastAsia="zh-CN"/>
        </w:rPr>
      </w:pPr>
      <w:r>
        <w:rPr>
          <w:rFonts w:hint="eastAsia"/>
          <w:sz w:val="24"/>
          <w:highlight w:val="none"/>
          <w:lang w:eastAsia="zh-CN"/>
        </w:rPr>
        <w:t>7.1.3甲方有权利要求乙方在规定时间完成相应阶段规划咨询成果。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7.1.4</w:t>
      </w:r>
      <w:r>
        <w:rPr>
          <w:rFonts w:ascii="宋体" w:hAnsi="宋体"/>
          <w:sz w:val="24"/>
          <w:highlight w:val="none"/>
        </w:rPr>
        <w:t>甲方</w:t>
      </w:r>
      <w:r>
        <w:rPr>
          <w:rFonts w:hint="eastAsia" w:ascii="宋体" w:hAnsi="宋体"/>
          <w:sz w:val="24"/>
          <w:highlight w:val="none"/>
        </w:rPr>
        <w:t>有权利要求乙方对协议服务内容进行保密处理。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7.1.5</w:t>
      </w:r>
      <w:r>
        <w:rPr>
          <w:rFonts w:ascii="宋体" w:hAnsi="宋体"/>
          <w:sz w:val="24"/>
          <w:highlight w:val="none"/>
        </w:rPr>
        <w:t>甲方</w:t>
      </w:r>
      <w:r>
        <w:rPr>
          <w:rFonts w:hint="eastAsia" w:ascii="宋体" w:hAnsi="宋体"/>
          <w:sz w:val="24"/>
          <w:highlight w:val="none"/>
        </w:rPr>
        <w:t>有权利对乙方撰写的报告和咨询服务等提出改进意见。</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7.1.6甲方有权指派甲方工作人员全程参与监督指导乙方开展各种服务工作。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7.1.7</w:t>
      </w:r>
      <w:r>
        <w:rPr>
          <w:rFonts w:ascii="宋体" w:hAnsi="宋体"/>
          <w:sz w:val="24"/>
          <w:highlight w:val="none"/>
        </w:rPr>
        <w:t>甲方</w:t>
      </w:r>
      <w:r>
        <w:rPr>
          <w:rFonts w:hint="eastAsia" w:ascii="宋体" w:hAnsi="宋体"/>
          <w:sz w:val="24"/>
          <w:highlight w:val="none"/>
        </w:rPr>
        <w:t>有义务积极配合乙方的调研、报告编制及咨询服务工作。</w:t>
      </w:r>
    </w:p>
    <w:p>
      <w:pPr>
        <w:adjustRightInd w:val="0"/>
        <w:snapToGrid w:val="0"/>
        <w:spacing w:line="360" w:lineRule="auto"/>
        <w:ind w:firstLine="480" w:firstLineChars="200"/>
        <w:rPr>
          <w:rFonts w:ascii="宋体" w:hAnsi="宋体"/>
          <w:sz w:val="24"/>
          <w:highlight w:val="none"/>
        </w:rPr>
      </w:pPr>
      <w:r>
        <w:rPr>
          <w:rFonts w:hint="eastAsia" w:ascii="宋体" w:hAnsi="宋体" w:cs="宋体"/>
          <w:sz w:val="24"/>
          <w:szCs w:val="24"/>
          <w:highlight w:val="none"/>
        </w:rPr>
        <w:t>7.1.8</w:t>
      </w:r>
      <w:r>
        <w:rPr>
          <w:rFonts w:ascii="宋体" w:hAnsi="宋体"/>
          <w:sz w:val="24"/>
          <w:highlight w:val="none"/>
        </w:rPr>
        <w:t>甲方</w:t>
      </w:r>
      <w:r>
        <w:rPr>
          <w:rFonts w:hint="eastAsia" w:ascii="宋体" w:hAnsi="宋体"/>
          <w:sz w:val="24"/>
          <w:highlight w:val="none"/>
        </w:rPr>
        <w:t>有义务向乙方提供咨询服务所需要的真实资料。</w:t>
      </w:r>
    </w:p>
    <w:p>
      <w:pPr>
        <w:adjustRightInd w:val="0"/>
        <w:snapToGrid w:val="0"/>
        <w:spacing w:line="360" w:lineRule="auto"/>
        <w:ind w:firstLine="480" w:firstLineChars="200"/>
        <w:rPr>
          <w:rFonts w:ascii="宋体" w:hAnsi="宋体"/>
          <w:sz w:val="24"/>
          <w:highlight w:val="none"/>
        </w:rPr>
      </w:pPr>
      <w:r>
        <w:rPr>
          <w:rFonts w:hint="eastAsia" w:ascii="宋体" w:hAnsi="宋体" w:cs="宋体"/>
          <w:sz w:val="24"/>
          <w:szCs w:val="24"/>
          <w:highlight w:val="none"/>
        </w:rPr>
        <w:t>7.1.9</w:t>
      </w:r>
      <w:r>
        <w:rPr>
          <w:rFonts w:ascii="宋体" w:hAnsi="宋体"/>
          <w:sz w:val="24"/>
          <w:highlight w:val="none"/>
        </w:rPr>
        <w:t>甲方</w:t>
      </w:r>
      <w:r>
        <w:rPr>
          <w:rFonts w:hint="eastAsia" w:ascii="宋体" w:hAnsi="宋体"/>
          <w:sz w:val="24"/>
          <w:highlight w:val="none"/>
        </w:rPr>
        <w:t>有义务向乙方依照协议按时支付所承担的咨询费用。</w:t>
      </w:r>
    </w:p>
    <w:p>
      <w:pPr>
        <w:adjustRightInd w:val="0"/>
        <w:snapToGrid w:val="0"/>
        <w:spacing w:line="360" w:lineRule="auto"/>
        <w:ind w:firstLine="480" w:firstLineChars="200"/>
        <w:rPr>
          <w:highlight w:val="none"/>
        </w:rPr>
      </w:pPr>
      <w:r>
        <w:rPr>
          <w:rFonts w:hint="eastAsia" w:ascii="宋体" w:hAnsi="宋体"/>
          <w:sz w:val="24"/>
          <w:highlight w:val="none"/>
        </w:rPr>
        <w:t>7.1.10甲方不得要求乙方违反国家、地方相关政策法规、标准规范进行工作。</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 乙方</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7.2.1</w:t>
      </w:r>
      <w:r>
        <w:rPr>
          <w:rFonts w:ascii="宋体" w:hAnsi="宋体"/>
          <w:sz w:val="24"/>
          <w:highlight w:val="none"/>
        </w:rPr>
        <w:t>乙方</w:t>
      </w:r>
      <w:r>
        <w:rPr>
          <w:rFonts w:hint="eastAsia" w:ascii="宋体" w:hAnsi="宋体"/>
          <w:sz w:val="24"/>
          <w:highlight w:val="none"/>
        </w:rPr>
        <w:t>有权利要求甲方提供咨询服务所需要的真实资料。</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7.2.2</w:t>
      </w:r>
      <w:r>
        <w:rPr>
          <w:rFonts w:ascii="宋体" w:hAnsi="宋体"/>
          <w:sz w:val="24"/>
          <w:highlight w:val="none"/>
        </w:rPr>
        <w:t>乙方</w:t>
      </w:r>
      <w:r>
        <w:rPr>
          <w:rFonts w:hint="eastAsia" w:ascii="宋体" w:hAnsi="宋体"/>
          <w:sz w:val="24"/>
          <w:highlight w:val="none"/>
        </w:rPr>
        <w:t>有权利要求甲方配合召开相关的调研与沟通会议。</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7.2.3</w:t>
      </w:r>
      <w:r>
        <w:rPr>
          <w:rFonts w:ascii="宋体" w:hAnsi="宋体"/>
          <w:sz w:val="24"/>
          <w:highlight w:val="none"/>
        </w:rPr>
        <w:t>乙方</w:t>
      </w:r>
      <w:r>
        <w:rPr>
          <w:rFonts w:hint="eastAsia" w:ascii="宋体" w:hAnsi="宋体"/>
          <w:sz w:val="24"/>
          <w:highlight w:val="none"/>
        </w:rPr>
        <w:t>有权利要求甲方依据合同条款支付咨询费用。</w:t>
      </w:r>
    </w:p>
    <w:p>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7.2.4乙方应严格按照国家及地方相关法规、标准及协议约定提供咨询服务；保证提交的工作成果符合国家及地方现行法律、法规、规章、政策及行业规范要求。</w:t>
      </w:r>
    </w:p>
    <w:p>
      <w:pPr>
        <w:pStyle w:val="17"/>
        <w:ind w:firstLine="480" w:firstLineChars="200"/>
        <w:rPr>
          <w:rFonts w:ascii="宋体" w:hAnsi="宋体"/>
          <w:sz w:val="24"/>
          <w:highlight w:val="none"/>
        </w:rPr>
      </w:pPr>
      <w:r>
        <w:rPr>
          <w:rFonts w:hint="eastAsia" w:ascii="宋体" w:hAnsi="宋体"/>
          <w:sz w:val="24"/>
          <w:highlight w:val="none"/>
        </w:rPr>
        <w:t>7.2.5</w:t>
      </w:r>
      <w:r>
        <w:rPr>
          <w:rFonts w:hint="eastAsia" w:ascii="宋体" w:hAnsi="宋体" w:cs="宋体"/>
          <w:sz w:val="24"/>
          <w:highlight w:val="none"/>
        </w:rPr>
        <w:t>乙方应按照合同约定服务范围、服务内容和招标文件内容完成本项目的服务工作，并且</w:t>
      </w:r>
      <w:r>
        <w:rPr>
          <w:rFonts w:hint="eastAsia" w:ascii="宋体" w:hAnsi="宋体" w:cs="Times New Roman"/>
          <w:color w:val="000000"/>
          <w:sz w:val="24"/>
          <w:highlight w:val="none"/>
        </w:rPr>
        <w:t>乙方需承担为保证服务后达到甲方预期效果，实现甲方的合同目的所必须的工作内容，包括但不限于本合同约定的工作内容。</w:t>
      </w:r>
    </w:p>
    <w:p>
      <w:pPr>
        <w:pStyle w:val="17"/>
        <w:adjustRightInd w:val="0"/>
        <w:snapToGrid w:val="0"/>
        <w:ind w:firstLine="480" w:firstLineChars="200"/>
        <w:rPr>
          <w:rFonts w:ascii="宋体" w:hAnsi="宋体"/>
          <w:sz w:val="24"/>
          <w:highlight w:val="none"/>
        </w:rPr>
      </w:pPr>
      <w:r>
        <w:rPr>
          <w:rFonts w:hint="eastAsia" w:ascii="宋体" w:hAnsi="宋体"/>
          <w:sz w:val="24"/>
          <w:highlight w:val="none"/>
        </w:rPr>
        <w:t>7.2.6乙方有义务按照甲方提出的服务要求，进行咨询服务，按合同规定的进度要求提交质量合格的咨询成果，并对其负责。</w:t>
      </w:r>
    </w:p>
    <w:p>
      <w:pPr>
        <w:pStyle w:val="17"/>
        <w:adjustRightInd w:val="0"/>
        <w:snapToGrid w:val="0"/>
        <w:ind w:firstLine="480" w:firstLineChars="200"/>
        <w:rPr>
          <w:rFonts w:ascii="宋体" w:hAnsi="宋体"/>
          <w:sz w:val="24"/>
          <w:highlight w:val="none"/>
        </w:rPr>
      </w:pPr>
      <w:r>
        <w:rPr>
          <w:rFonts w:hint="eastAsia" w:ascii="宋体" w:hAnsi="宋体"/>
          <w:sz w:val="24"/>
          <w:highlight w:val="none"/>
        </w:rPr>
        <w:t>7.2.7</w:t>
      </w:r>
      <w:r>
        <w:rPr>
          <w:rFonts w:hint="eastAsia" w:ascii="宋体" w:hAnsi="宋体" w:cs="宋体"/>
          <w:sz w:val="24"/>
          <w:highlight w:val="none"/>
        </w:rPr>
        <w:t>乙方</w:t>
      </w:r>
      <w:r>
        <w:rPr>
          <w:rFonts w:hint="eastAsia" w:ascii="宋体" w:hAnsi="宋体"/>
          <w:sz w:val="24"/>
          <w:highlight w:val="none"/>
        </w:rPr>
        <w:t>有义务</w:t>
      </w:r>
      <w:r>
        <w:rPr>
          <w:rFonts w:hint="eastAsia" w:ascii="宋体" w:hAnsi="宋体" w:cs="宋体"/>
          <w:sz w:val="24"/>
          <w:highlight w:val="none"/>
        </w:rPr>
        <w:t>及时完成各项工作，必须充分考虑甲方审核和评审所需时间要求。</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7.2.8</w:t>
      </w:r>
      <w:r>
        <w:rPr>
          <w:rFonts w:ascii="宋体" w:hAnsi="宋体"/>
          <w:sz w:val="24"/>
          <w:highlight w:val="none"/>
        </w:rPr>
        <w:t>乙方</w:t>
      </w:r>
      <w:r>
        <w:rPr>
          <w:rFonts w:hint="eastAsia" w:ascii="宋体" w:hAnsi="宋体"/>
          <w:sz w:val="24"/>
          <w:highlight w:val="none"/>
        </w:rPr>
        <w:t>有义务按照甲方及相关方的意见修改报告，确保咨询服务质量。</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7.2.9</w:t>
      </w:r>
      <w:r>
        <w:rPr>
          <w:rFonts w:ascii="宋体" w:hAnsi="宋体"/>
          <w:sz w:val="24"/>
          <w:highlight w:val="none"/>
        </w:rPr>
        <w:t>乙方</w:t>
      </w:r>
      <w:r>
        <w:rPr>
          <w:rFonts w:hint="eastAsia" w:ascii="宋体" w:hAnsi="宋体"/>
          <w:sz w:val="24"/>
          <w:highlight w:val="none"/>
        </w:rPr>
        <w:t>有义务为甲方就本项目提供顾问、汇报支持服务，并</w:t>
      </w:r>
      <w:r>
        <w:rPr>
          <w:rFonts w:hint="eastAsia" w:ascii="宋体" w:hAnsi="宋体" w:cs="Times New Roman"/>
          <w:sz w:val="24"/>
          <w:szCs w:val="24"/>
          <w:highlight w:val="none"/>
        </w:rPr>
        <w:t>在售后服务期限内提供相关咨询、协调等技术支持</w:t>
      </w:r>
      <w:r>
        <w:rPr>
          <w:rFonts w:hint="eastAsia" w:ascii="宋体" w:hAnsi="宋体"/>
          <w:sz w:val="24"/>
          <w:highlight w:val="none"/>
        </w:rPr>
        <w:t>。</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7.2.10</w:t>
      </w:r>
      <w:r>
        <w:rPr>
          <w:rFonts w:hint="eastAsia" w:ascii="宋体" w:hAnsi="宋体" w:cs="Times New Roman"/>
          <w:sz w:val="24"/>
          <w:szCs w:val="24"/>
          <w:highlight w:val="none"/>
        </w:rPr>
        <w:t>乙方应</w:t>
      </w:r>
      <w:r>
        <w:rPr>
          <w:rFonts w:hint="eastAsia" w:ascii="宋体" w:hAnsi="宋体" w:cs="宋体"/>
          <w:sz w:val="24"/>
          <w:szCs w:val="24"/>
          <w:highlight w:val="none"/>
        </w:rPr>
        <w:t>保证项目团队成员的稳定性，不得随意更换项目团队成员。乙方若因特殊原因需更换个别项目成员时，需征得甲方审批同意后方可进行更换。如乙方项目成员在提供服务时，被甲方发现存在工作中有不称职的情形，甲方有权要求更换，乙方必须服从并在7个工作日内完成更换。</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7.2.11</w:t>
      </w:r>
      <w:r>
        <w:rPr>
          <w:rFonts w:hint="eastAsia" w:ascii="宋体" w:hAnsi="宋体" w:cs="宋体"/>
          <w:sz w:val="24"/>
          <w:szCs w:val="24"/>
          <w:highlight w:val="none"/>
        </w:rPr>
        <w:t>乙方应指定具有丰富项目管理经验的人员作为本项目的项目负责人，代表乙方负责对本项目的服务工作，并接受和按照甲方的指示要求，按时向甲方呈交各项工作成果文件以及完成甲方交办的其他事项。</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7.2.12</w:t>
      </w:r>
      <w:r>
        <w:rPr>
          <w:rFonts w:hint="eastAsia" w:ascii="宋体" w:hAnsi="宋体" w:cs="宋体"/>
          <w:sz w:val="24"/>
          <w:szCs w:val="24"/>
          <w:highlight w:val="none"/>
        </w:rPr>
        <w:t>乙方所提供的建议、请示、报告和通知均应采用书面形式呈交甲方。</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7.2.13</w:t>
      </w:r>
      <w:r>
        <w:rPr>
          <w:rFonts w:hint="eastAsia" w:ascii="宋体" w:hAnsi="宋体" w:cs="宋体"/>
          <w:sz w:val="24"/>
          <w:szCs w:val="24"/>
          <w:highlight w:val="none"/>
        </w:rPr>
        <w:t>乙方充分协调调动公司内部资源，保证服务工作质量，完成各项工作。</w:t>
      </w:r>
    </w:p>
    <w:p>
      <w:pPr>
        <w:adjustRightInd w:val="0"/>
        <w:snapToGrid w:val="0"/>
        <w:spacing w:line="360" w:lineRule="auto"/>
        <w:ind w:firstLine="482" w:firstLineChars="200"/>
        <w:rPr>
          <w:rFonts w:ascii="宋体" w:hAnsi="宋体" w:cs="Times New Roman"/>
          <w:b/>
          <w:bCs/>
          <w:sz w:val="24"/>
          <w:szCs w:val="24"/>
          <w:highlight w:val="none"/>
        </w:rPr>
      </w:pPr>
      <w:r>
        <w:rPr>
          <w:rFonts w:hint="eastAsia" w:ascii="宋体" w:hAnsi="宋体" w:cs="Times New Roman"/>
          <w:b/>
          <w:bCs/>
          <w:sz w:val="24"/>
          <w:szCs w:val="24"/>
          <w:highlight w:val="none"/>
        </w:rPr>
        <w:t>八、履约评价考核</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8.1甲方建立履约评价管理制度，并定期组织开展履约评价；乙方应无条件接受甲方的履约评价考核。甲方的履约评价管理制度以甲方印发的相关文件为准。</w:t>
      </w:r>
    </w:p>
    <w:p>
      <w:pPr>
        <w:adjustRightInd w:val="0"/>
        <w:snapToGrid w:val="0"/>
        <w:spacing w:line="360" w:lineRule="auto"/>
        <w:ind w:firstLine="482" w:firstLineChars="200"/>
        <w:rPr>
          <w:rFonts w:ascii="宋体" w:hAnsi="宋体"/>
          <w:b/>
          <w:sz w:val="28"/>
          <w:szCs w:val="28"/>
          <w:highlight w:val="none"/>
        </w:rPr>
      </w:pPr>
      <w:r>
        <w:rPr>
          <w:rFonts w:hint="eastAsia" w:ascii="宋体" w:hAnsi="宋体" w:cs="宋体"/>
          <w:b/>
          <w:kern w:val="0"/>
          <w:sz w:val="24"/>
          <w:szCs w:val="24"/>
          <w:highlight w:val="none"/>
        </w:rPr>
        <w:t>九、</w:t>
      </w:r>
      <w:r>
        <w:rPr>
          <w:rFonts w:hint="eastAsia" w:ascii="宋体" w:hAnsi="宋体"/>
          <w:b/>
          <w:color w:val="000000"/>
          <w:sz w:val="28"/>
          <w:szCs w:val="28"/>
          <w:highlight w:val="none"/>
        </w:rPr>
        <w:t>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9.1 乙方自行负责购买因履行本合同而需购买的保险，费用由乙方承担，如确需购买</w:t>
      </w:r>
      <w:r>
        <w:rPr>
          <w:rFonts w:ascii="宋体" w:hAnsi="宋体"/>
          <w:sz w:val="24"/>
          <w:highlight w:val="none"/>
        </w:rPr>
        <w:t>，购买</w:t>
      </w:r>
      <w:r>
        <w:rPr>
          <w:rFonts w:hint="eastAsia" w:ascii="宋体" w:hAnsi="宋体"/>
          <w:sz w:val="24"/>
          <w:highlight w:val="none"/>
        </w:rPr>
        <w:t>保险</w:t>
      </w:r>
      <w:r>
        <w:rPr>
          <w:rFonts w:ascii="宋体" w:hAnsi="宋体"/>
          <w:sz w:val="24"/>
          <w:highlight w:val="none"/>
        </w:rPr>
        <w:t>后</w:t>
      </w:r>
      <w:r>
        <w:rPr>
          <w:rFonts w:hint="eastAsia" w:ascii="宋体" w:hAnsi="宋体"/>
          <w:sz w:val="24"/>
          <w:highlight w:val="none"/>
        </w:rPr>
        <w:t>乙方应向甲方提供保险单复印件供甲方保存。</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9.2 乙方在各阶段所作出的成果文件在向甲方交付并得到甲方认可后，知识产权即归甲方所有。</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9.3 对于甲方提供给乙方的资料及文件，甲方享有知识产权，不因是否经甲方认可或付款等任何原因而影响甲方拥有的权利，乙方必须履行保密及保护甲方知识产权责任。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9.4乙方不得将本项目的成果和相关资料在其它项目中使用或泄露；乙方对本项目所作的整个成果及各项资料，在未经甲方同意，乙方不得在任何地方或媒体展示。</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9.5乙方应保证其所提交给甲方的</w:t>
      </w:r>
      <w:r>
        <w:rPr>
          <w:rFonts w:hint="eastAsia" w:ascii="宋体" w:hAnsi="宋体" w:cs="宋体"/>
          <w:sz w:val="24"/>
          <w:szCs w:val="24"/>
          <w:highlight w:val="none"/>
        </w:rPr>
        <w:t>全部中间成果、最终成果文件及相关数据</w:t>
      </w:r>
      <w:r>
        <w:rPr>
          <w:rFonts w:hint="eastAsia" w:ascii="宋体" w:hAnsi="宋体"/>
          <w:sz w:val="24"/>
          <w:highlight w:val="none"/>
        </w:rPr>
        <w:t>和咨询意见、资料等不会侵犯第三人的</w:t>
      </w:r>
      <w:r>
        <w:rPr>
          <w:rFonts w:hint="eastAsia" w:ascii="宋体" w:hAnsi="宋体" w:cs="宋体"/>
          <w:sz w:val="24"/>
          <w:szCs w:val="24"/>
          <w:highlight w:val="none"/>
        </w:rPr>
        <w:t>知识产权和其他</w:t>
      </w:r>
      <w:r>
        <w:rPr>
          <w:rFonts w:hint="eastAsia" w:ascii="宋体" w:hAnsi="宋体"/>
          <w:sz w:val="24"/>
          <w:highlight w:val="none"/>
        </w:rPr>
        <w:t>合法权利（包括但不限于著作权、商标权、专利权、商业秘密、名称权、肖像权等各项权利），也不会违反相关强制性法律规定，否则乙方应立即纠正侵权或违法事由，并承担相应责任。</w:t>
      </w:r>
      <w:r>
        <w:rPr>
          <w:rFonts w:hint="eastAsia" w:ascii="宋体" w:hAnsi="宋体" w:cs="宋体"/>
          <w:sz w:val="24"/>
          <w:szCs w:val="24"/>
          <w:highlight w:val="none"/>
        </w:rPr>
        <w:t>若因使用该等文件或资料导致任何索赔或责任，乙方均应承担处理、应诉或赔偿责任。甲方有权要求乙方修改成果以消除侵权情况，甲方有权依法单方面解除本合同，并保留要求乙方赔偿全部损失的权利。</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十、保密条款</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10.1 双方应遵守国家的有关保密规定。妥善保管对方提供的资料，保守对方的各项秘密，并保护对方的知识产权。</w:t>
      </w:r>
    </w:p>
    <w:p>
      <w:pPr>
        <w:widowControl/>
        <w:adjustRightInd w:val="0"/>
        <w:snapToGrid w:val="0"/>
        <w:spacing w:line="360" w:lineRule="auto"/>
        <w:ind w:firstLine="480" w:firstLineChars="200"/>
        <w:rPr>
          <w:highlight w:val="none"/>
        </w:rPr>
      </w:pPr>
      <w:r>
        <w:rPr>
          <w:rFonts w:hint="eastAsia" w:ascii="宋体" w:hAnsi="宋体"/>
          <w:sz w:val="24"/>
          <w:highlight w:val="none"/>
        </w:rPr>
        <w:t>10.2</w:t>
      </w:r>
      <w:r>
        <w:rPr>
          <w:rFonts w:ascii="宋体" w:hAnsi="宋体"/>
          <w:sz w:val="24"/>
          <w:highlight w:val="none"/>
        </w:rPr>
        <w:t>乙方</w:t>
      </w:r>
      <w:r>
        <w:rPr>
          <w:rFonts w:hint="eastAsia" w:ascii="宋体" w:hAnsi="宋体"/>
          <w:sz w:val="24"/>
          <w:highlight w:val="none"/>
        </w:rPr>
        <w:t>应对甲方提供的所有资料及项目研究内容保密，非经甲方书面同意，乙方不得向任何第三方披露甲方资料及研究内容，也不得将甲方资料及研究内容用于任何商业目的。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10.3 未经甲方许可，乙方不得将本项目的成果文件及任何数据、图纸、资料向任何第三方转让或用于本合同项目外的其他项目。</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10.4 乙方须以保密方式处理在编制本项目成果文件过程中自甲方、甲方工作人员或甲方关联机构获得的相关信息、资料、图纸、数据等，或由甲方在履行本协议过程中明确指明为秘密的任何信息，以及乙方因本项目工作内容所直接或间接取得、处理或接触的任何其他资料。即使向履行本合同有关的人员提供，也应注意保密并限于履行合同的必需范围，且这些人员应接受至少与本条款同等严格的保密条款的约束。未经甲方书面同意，乙方不得向任何第三方透露与本项目有关的内容，或公开本项目任何中间成果或最终成果。</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10.5 如违反本保密条款约定，甲方有权依法单方面解除本合同，并要求乙方退还甲方已支付的全部服务费并向甲方支付合同总价款20%的违约金。如果违约金无法弥补甲方损失，甲方保留要求乙方赔偿全部损失的权利。</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 无论本合同或本合同其他条款是否有效，本保密条款始终约束双方。</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十一、违约责任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11.1双方须严格遵守上述各项约定条款，协议一经生效，双方必须严格遵守，如有违反，违约方应承担对方由此引起的一切经济损失和全部违约责任</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乙方须按约定条款按时交付</w:t>
      </w:r>
      <w:r>
        <w:rPr>
          <w:rFonts w:hint="eastAsia" w:ascii="宋体" w:hAnsi="宋体" w:cs="宋体"/>
          <w:sz w:val="24"/>
          <w:szCs w:val="24"/>
          <w:highlight w:val="none"/>
        </w:rPr>
        <w:t>工</w:t>
      </w:r>
      <w:r>
        <w:rPr>
          <w:rFonts w:ascii="宋体" w:hAnsi="宋体" w:cs="宋体"/>
          <w:sz w:val="24"/>
          <w:szCs w:val="24"/>
          <w:highlight w:val="none"/>
        </w:rPr>
        <w:t>作成果</w:t>
      </w:r>
      <w:r>
        <w:rPr>
          <w:rFonts w:hint="eastAsia" w:ascii="宋体" w:hAnsi="宋体" w:cs="宋体"/>
          <w:sz w:val="24"/>
          <w:szCs w:val="24"/>
          <w:highlight w:val="none"/>
        </w:rPr>
        <w:t>（包括阶段性成果，下同）</w:t>
      </w:r>
      <w:r>
        <w:rPr>
          <w:rFonts w:ascii="宋体" w:hAnsi="宋体" w:cs="宋体"/>
          <w:sz w:val="24"/>
          <w:szCs w:val="24"/>
          <w:highlight w:val="none"/>
        </w:rPr>
        <w:t>，如</w:t>
      </w:r>
      <w:r>
        <w:rPr>
          <w:rFonts w:hint="eastAsia" w:ascii="宋体" w:hAnsi="宋体" w:cs="宋体"/>
          <w:sz w:val="24"/>
          <w:szCs w:val="24"/>
          <w:highlight w:val="none"/>
        </w:rPr>
        <w:t>因</w:t>
      </w:r>
      <w:r>
        <w:rPr>
          <w:rFonts w:ascii="宋体" w:hAnsi="宋体" w:cs="宋体"/>
          <w:sz w:val="24"/>
          <w:szCs w:val="24"/>
          <w:highlight w:val="none"/>
        </w:rPr>
        <w:t>乙方原因延误工作成果交付时间，每延误一天，乙方应向甲方支付</w:t>
      </w:r>
      <w:r>
        <w:rPr>
          <w:rFonts w:hint="eastAsia" w:ascii="宋体" w:hAnsi="宋体" w:cs="宋体"/>
          <w:sz w:val="24"/>
          <w:szCs w:val="24"/>
          <w:highlight w:val="none"/>
        </w:rPr>
        <w:t>合同总价款</w:t>
      </w:r>
      <w:r>
        <w:rPr>
          <w:rFonts w:ascii="宋体" w:hAnsi="宋体" w:cs="宋体"/>
          <w:sz w:val="24"/>
          <w:szCs w:val="24"/>
          <w:highlight w:val="none"/>
        </w:rPr>
        <w:t>0.5%的违约金；延误超过十天的，甲方除有权要求乙方支付前述违约金外，甲方同时有权单方解除本合同。如乙方提交的工作成果不符合甲方要求，乙方应在甲方规定时间内进行修改完善，直至符合甲方要求为止。若乙方拒绝改正或逾期未改正的，每逾期一天，乙方应向甲方支付</w:t>
      </w:r>
      <w:r>
        <w:rPr>
          <w:rFonts w:hint="eastAsia" w:ascii="宋体" w:hAnsi="宋体" w:cs="宋体"/>
          <w:sz w:val="24"/>
          <w:szCs w:val="24"/>
          <w:highlight w:val="none"/>
        </w:rPr>
        <w:t>合同总价款</w:t>
      </w:r>
      <w:r>
        <w:rPr>
          <w:rFonts w:ascii="宋体" w:hAnsi="宋体" w:cs="宋体"/>
          <w:sz w:val="24"/>
          <w:szCs w:val="24"/>
          <w:highlight w:val="none"/>
        </w:rPr>
        <w:t>0.5%的违约金；逾期超过十天的，甲方除有权要求乙方支付前述违约金外，甲方同时有权单方解除本合同。</w:t>
      </w:r>
    </w:p>
    <w:p>
      <w:pPr>
        <w:adjustRightInd w:val="0"/>
        <w:snapToGrid w:val="0"/>
        <w:spacing w:line="360" w:lineRule="auto"/>
        <w:ind w:firstLine="480" w:firstLineChars="200"/>
        <w:rPr>
          <w:rFonts w:ascii="宋体" w:hAnsi="宋体"/>
          <w:sz w:val="24"/>
          <w:highlight w:val="none"/>
        </w:rPr>
      </w:pPr>
      <w:r>
        <w:rPr>
          <w:rFonts w:hint="eastAsia" w:ascii="宋体" w:hAnsi="宋体" w:cs="宋体"/>
          <w:sz w:val="24"/>
          <w:szCs w:val="24"/>
          <w:highlight w:val="none"/>
        </w:rPr>
        <w:t>11.3</w:t>
      </w:r>
      <w:r>
        <w:rPr>
          <w:rFonts w:ascii="宋体" w:hAnsi="宋体" w:cs="宋体"/>
          <w:sz w:val="24"/>
          <w:szCs w:val="24"/>
          <w:highlight w:val="none"/>
        </w:rPr>
        <w:t>乙方不得将本协议项下的工作进行分包或转包。如乙方未经甲方同意将本协</w:t>
      </w:r>
      <w:r>
        <w:rPr>
          <w:rFonts w:hint="eastAsia" w:ascii="宋体" w:hAnsi="宋体"/>
          <w:sz w:val="24"/>
          <w:highlight w:val="none"/>
        </w:rPr>
        <w:t>议项下的工作进行分包或转包，则，甲方有权依法单方解除合同，由乙方承担因此而产生的相关责任，且乙方须向甲方支付合同总价款20%的违约金。</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11.4本合同履行期间，甲方有权在未支付合同价款中扣除本合同约定的违约金或罚款。</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11.5乙方在从事协议范围研究所涉及的知识产权责任由乙方自行承担，并负责使甲方的利益不受损害，由此引起的各项法律诉讼及费用与甲方无关。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11.6 乙方中标后，项目团队成员应按项目投标文件或合同约定，在七天内到岗，不得安排其他人员和降低资质条件。若项目负责人不符合要求的，乙方应向甲方支付违约金50000元/人次；其它项目服务团队成员不符合要求的，乙方应向甲方支付违约金20000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项目服务团队成员如需更换的，乙方应书面向甲</w:t>
      </w:r>
      <w:r>
        <w:rPr>
          <w:rFonts w:hint="eastAsia" w:ascii="宋体" w:hAnsi="宋体" w:cs="宋体"/>
          <w:sz w:val="24"/>
          <w:szCs w:val="24"/>
          <w:highlight w:val="none"/>
        </w:rPr>
        <w:t>方提出申请，经批准同意后方可更换；若乙方擅自更换项目负责人的，乙方应向甲方支付违约金50000元/人次；若乙方擅自更换其它项目服务团队成员的，乙方应向甲方支付违约金20000元/人次。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11.7 在合同履行期间，如因乙方人员服务水平、专业技能不满足合理要求，或甲方考核评价不合格等原因需要更换人员的，乙方应在接到甲方通知后一周内更换满足甲方要求的人员；每延误1天，甲方有权扣除合同总价款的1‰作为违约金。如因前述原因导致项目经理更换的，乙方应向甲方支付违约金20000元/人次；如因前述原因导致项目服务团队其他成员更换的，乙方应向甲方支付违约金10000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11.8 如果甲方对于乙方项目服务团队成员的资格或能力有异议，乙方应提供资料证明被质疑人员有能力完成其岗位工作或不存在甲方所质疑的情形。如果甲方要求撤换不能按照合同约定履行职责及义务的项目服务团队成员，乙方应当在7个日内撤换。乙方无正当理由拒绝撤换的，乙方应向甲方支付违约金人民币20</w:t>
      </w:r>
      <w:r>
        <w:rPr>
          <w:rFonts w:ascii="宋体" w:hAnsi="宋体" w:cs="宋体"/>
          <w:sz w:val="24"/>
          <w:szCs w:val="24"/>
          <w:highlight w:val="none"/>
        </w:rPr>
        <w:t>000</w:t>
      </w:r>
      <w:r>
        <w:rPr>
          <w:rFonts w:hint="eastAsia" w:ascii="宋体" w:hAnsi="宋体" w:cs="宋体"/>
          <w:sz w:val="24"/>
          <w:szCs w:val="24"/>
          <w:highlight w:val="none"/>
        </w:rPr>
        <w:t>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11.9 在合同履行期间，乙方项目服务团队成员如因个人原因无法参加要求的工作，应向甲方履行正式的请假申请并经甲方批准；无故不参加的，甲方有权扣除合同总价款的1‰作为违约金/每人次。</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十二、合同解除</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本合同履行过程中，若出现下列情形，甲方有权依法解除合同：</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12.1.1 乙方未能按合同约定的日期(含协商延缓的日期)提交工作成果，延误时间超过10（个）自然日；</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12.1.2 乙方工作成果质量无法满足甲方的工作需要，且经整改后仍无法满足要求的；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12.1.3 因乙方工作的错误或遗漏导致成果质量损失，且乙方未按甲方要求采取及时有效的补救措施；</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12.1.4 乙方未经甲方同意，擅自将本合同项目与任何第三方合作，或将本合同标的全部或部分转包或分包给任何第三方的；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12.1.5 合同履行期间，乙方承担本项目规划范围内与甲方利益冲突的其他项目，且未按甲方要求回避的；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12.1.6 乙方明确表示或者以自己的行为表明不履行本合同的；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其他约定：如因上述情形导致合同终止的，乙方除应在合同解除之日起5个工作日内退还甲方已支付的全部款项外，还应在合同解除通知发出之日起10日内向甲方支付合同总价款20%的违约金。乙方应同时将已完成的阶段成果移交给甲方，并将全部有关资料退还甲方。</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十三、合同争议的解决方式</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因本合同的履行或合同本身发生的争议或纠纷，双方应协商解决。协商不成的，按下列方式解决：</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 提交深圳国际仲裁院按提请仲裁时该院的生效仲裁规则进行仲裁，仲裁裁决为终局，对双方均有约束力。</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 依法向甲方住所地人民法院起诉。</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十四、特别条款</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14.1 乙方保证未参与实施甲方在建工程项目中的代建、监理服务或施工建设。</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 乙方保证在本次合同服务期限内不会参与甲方的代建、监理或施工项目投标。</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十五、其他条款</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w:t>
      </w:r>
      <w:r>
        <w:rPr>
          <w:rFonts w:ascii="宋体" w:hAnsi="宋体" w:cs="Times New Roman"/>
          <w:color w:val="000000"/>
          <w:sz w:val="24"/>
          <w:szCs w:val="24"/>
          <w:highlight w:val="none"/>
        </w:rPr>
        <w:t>.</w:t>
      </w:r>
      <w:r>
        <w:rPr>
          <w:rFonts w:hint="eastAsia" w:ascii="宋体" w:hAnsi="宋体" w:cs="Times New Roman"/>
          <w:color w:val="000000"/>
          <w:sz w:val="24"/>
          <w:szCs w:val="24"/>
          <w:highlight w:val="none"/>
        </w:rPr>
        <w:t>1未经甲方书面认可，乙方超越合同约定支出的所有费用均由乙方自行承担。</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Times New Roman"/>
          <w:color w:val="000000"/>
          <w:sz w:val="24"/>
          <w:szCs w:val="24"/>
          <w:highlight w:val="none"/>
        </w:rPr>
        <w:t>15.2</w:t>
      </w:r>
      <w:r>
        <w:rPr>
          <w:rFonts w:hint="eastAsia" w:ascii="宋体" w:hAnsi="宋体" w:cs="宋体"/>
          <w:sz w:val="24"/>
          <w:szCs w:val="24"/>
          <w:highlight w:val="none"/>
        </w:rPr>
        <w:t>本合同的附件为合同不可分割的组成部分，与本合同具有同等法律效力。</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15.3 本合同未尽事宜，经双方协商一致可签订补充协议，补充协议必须以书面形式订立，经双方法定代表人或其授权代表签字并加盖单位公章（或合同专用章）后与本合同具有同等法律效力。</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15.4本合同一方给对方的通知，应用书面形式送达合同中规定的对方地址。电传或传真要经对方书面确认，以电传形式的通知，从当地邮电局发出电报的第二天视为送达。</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15.5通知书的生效日期以送达日期或通知书的生效日期两者中较晚的一个为准。</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15.6</w:t>
      </w:r>
      <w:r>
        <w:rPr>
          <w:rFonts w:ascii="宋体" w:hAnsi="宋体" w:cs="Times New Roman"/>
          <w:color w:val="000000"/>
          <w:sz w:val="24"/>
          <w:szCs w:val="24"/>
          <w:highlight w:val="none"/>
        </w:rPr>
        <w:t xml:space="preserve"> </w:t>
      </w:r>
      <w:r>
        <w:rPr>
          <w:rFonts w:hint="eastAsia" w:ascii="宋体" w:hAnsi="宋体" w:cs="Times New Roman"/>
          <w:color w:val="000000"/>
          <w:sz w:val="24"/>
          <w:szCs w:val="24"/>
          <w:highlight w:val="none"/>
        </w:rPr>
        <w:t>本合同甲乙双方当事人联系方式和联系信息适用于双方往来联系、书面文件送达及争议解决时法律文书送达。因当事人联系方式和联系信息错误或当事人拒收而无法直接送达的自交邮后第3</w:t>
      </w:r>
      <w:r>
        <w:rPr>
          <w:rFonts w:ascii="宋体" w:hAnsi="宋体" w:cs="Times New Roman"/>
          <w:color w:val="000000"/>
          <w:sz w:val="24"/>
          <w:szCs w:val="24"/>
          <w:highlight w:val="none"/>
        </w:rPr>
        <w:t>日视为送达。</w:t>
      </w:r>
    </w:p>
    <w:p>
      <w:pPr>
        <w:tabs>
          <w:tab w:val="left" w:pos="168"/>
        </w:tabs>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15.7本合同一式10份，甲方执5份，乙方执5份，均具同等法律效力。</w:t>
      </w:r>
    </w:p>
    <w:p>
      <w:pPr>
        <w:adjustRightInd w:val="0"/>
        <w:snapToGrid w:val="0"/>
        <w:spacing w:line="360" w:lineRule="auto"/>
        <w:ind w:firstLine="480" w:firstLineChars="200"/>
        <w:rPr>
          <w:highlight w:val="none"/>
        </w:rPr>
      </w:pPr>
      <w:r>
        <w:rPr>
          <w:rFonts w:hint="eastAsia" w:ascii="宋体" w:hAnsi="宋体" w:cs="宋体"/>
          <w:sz w:val="24"/>
          <w:szCs w:val="24"/>
          <w:highlight w:val="none"/>
        </w:rPr>
        <w:t>15.8本合同经双方法定代表人（或其委托代理人）签署并加盖公章（或合同专用章）后生效。</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十六、合同附件</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1：投标报价一览表</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2：投标函</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ascii="宋体" w:hAnsi="宋体" w:cs="Times New Roman"/>
          <w:color w:val="000000"/>
          <w:sz w:val="24"/>
          <w:szCs w:val="24"/>
          <w:highlight w:val="none"/>
        </w:rPr>
        <w:t>附件3：投标人项目</w:t>
      </w:r>
      <w:r>
        <w:rPr>
          <w:rFonts w:hint="eastAsia" w:ascii="宋体" w:hAnsi="宋体" w:cs="Times New Roman"/>
          <w:color w:val="000000"/>
          <w:sz w:val="24"/>
          <w:szCs w:val="24"/>
          <w:highlight w:val="none"/>
        </w:rPr>
        <w:t>团队人员配置表</w:t>
      </w:r>
    </w:p>
    <w:p>
      <w:pPr>
        <w:rPr>
          <w:rFonts w:ascii="宋体" w:hAnsi="宋体" w:cs="Times New Roman"/>
          <w:color w:val="000000"/>
          <w:sz w:val="24"/>
          <w:szCs w:val="24"/>
          <w:highlight w:val="none"/>
        </w:rPr>
      </w:pPr>
    </w:p>
    <w:p>
      <w:pPr>
        <w:pStyle w:val="7"/>
        <w:rPr>
          <w:highlight w:val="none"/>
        </w:rPr>
      </w:pPr>
    </w:p>
    <w:tbl>
      <w:tblPr>
        <w:tblStyle w:val="18"/>
        <w:tblW w:w="8720" w:type="dxa"/>
        <w:jc w:val="center"/>
        <w:tblLayout w:type="fixed"/>
        <w:tblCellMar>
          <w:top w:w="0" w:type="dxa"/>
          <w:left w:w="108" w:type="dxa"/>
          <w:bottom w:w="0" w:type="dxa"/>
          <w:right w:w="108" w:type="dxa"/>
        </w:tblCellMar>
      </w:tblPr>
      <w:tblGrid>
        <w:gridCol w:w="1848"/>
        <w:gridCol w:w="2393"/>
        <w:gridCol w:w="1789"/>
        <w:gridCol w:w="2690"/>
      </w:tblGrid>
      <w:tr>
        <w:tblPrEx>
          <w:tblCellMar>
            <w:top w:w="0" w:type="dxa"/>
            <w:left w:w="108" w:type="dxa"/>
            <w:bottom w:w="0" w:type="dxa"/>
            <w:right w:w="108" w:type="dxa"/>
          </w:tblCellMar>
        </w:tblPrEx>
        <w:trPr>
          <w:trHeight w:val="1048" w:hRule="atLeast"/>
          <w:jc w:val="center"/>
        </w:trPr>
        <w:tc>
          <w:tcPr>
            <w:tcW w:w="4241" w:type="dxa"/>
            <w:gridSpan w:val="2"/>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甲方（盖章）：</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u w:val="single"/>
              </w:rPr>
              <w:t>深圳市龙华建设发展集团有限公司</w:t>
            </w:r>
          </w:p>
        </w:tc>
        <w:tc>
          <w:tcPr>
            <w:tcW w:w="4479" w:type="dxa"/>
            <w:gridSpan w:val="2"/>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乙方（盖章）：</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 xml:space="preserve">              </w:t>
            </w:r>
          </w:p>
        </w:tc>
      </w:tr>
      <w:tr>
        <w:tblPrEx>
          <w:tblCellMar>
            <w:top w:w="0" w:type="dxa"/>
            <w:left w:w="108" w:type="dxa"/>
            <w:bottom w:w="0" w:type="dxa"/>
            <w:right w:w="108" w:type="dxa"/>
          </w:tblCellMar>
        </w:tblPrEx>
        <w:trPr>
          <w:trHeight w:val="1277" w:hRule="atLeast"/>
          <w:jc w:val="center"/>
        </w:trPr>
        <w:tc>
          <w:tcPr>
            <w:tcW w:w="1848" w:type="dxa"/>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法定代表人：</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或其委托代理人：（签名）</w:t>
            </w:r>
          </w:p>
        </w:tc>
        <w:tc>
          <w:tcPr>
            <w:tcW w:w="2393" w:type="dxa"/>
          </w:tcPr>
          <w:p>
            <w:pPr>
              <w:widowControl/>
              <w:adjustRightInd w:val="0"/>
              <w:snapToGrid w:val="0"/>
              <w:rPr>
                <w:rFonts w:ascii="宋体" w:hAnsi="宋体" w:cs="宋体"/>
                <w:sz w:val="24"/>
                <w:szCs w:val="24"/>
                <w:highlight w:val="none"/>
              </w:rPr>
            </w:pPr>
          </w:p>
        </w:tc>
        <w:tc>
          <w:tcPr>
            <w:tcW w:w="1789" w:type="dxa"/>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法定代表人：</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或其委托代理人：（签名）</w:t>
            </w:r>
          </w:p>
        </w:tc>
        <w:tc>
          <w:tcPr>
            <w:tcW w:w="2690" w:type="dxa"/>
          </w:tcPr>
          <w:p>
            <w:pPr>
              <w:widowControl/>
              <w:adjustRightInd w:val="0"/>
              <w:snapToGrid w:val="0"/>
              <w:rPr>
                <w:rFonts w:ascii="宋体" w:hAnsi="宋体" w:cs="宋体"/>
                <w:sz w:val="24"/>
                <w:szCs w:val="24"/>
                <w:highlight w:val="none"/>
              </w:rPr>
            </w:pPr>
          </w:p>
        </w:tc>
      </w:tr>
      <w:tr>
        <w:tblPrEx>
          <w:tblCellMar>
            <w:top w:w="0" w:type="dxa"/>
            <w:left w:w="108" w:type="dxa"/>
            <w:bottom w:w="0" w:type="dxa"/>
            <w:right w:w="108" w:type="dxa"/>
          </w:tblCellMar>
        </w:tblPrEx>
        <w:trPr>
          <w:trHeight w:val="1108"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统一社会信用代码：</w:t>
            </w:r>
          </w:p>
          <w:p>
            <w:pPr>
              <w:widowControl/>
              <w:adjustRightInd w:val="0"/>
              <w:snapToGrid w:val="0"/>
              <w:rPr>
                <w:rFonts w:ascii="宋体" w:hAnsi="宋体" w:cs="宋体"/>
                <w:sz w:val="24"/>
                <w:szCs w:val="24"/>
                <w:highlight w:val="none"/>
              </w:rPr>
            </w:pP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统一社会信用代码：</w:t>
            </w:r>
          </w:p>
          <w:p>
            <w:pPr>
              <w:widowControl/>
              <w:adjustRightInd w:val="0"/>
              <w:snapToGrid w:val="0"/>
              <w:rPr>
                <w:rFonts w:ascii="宋体" w:hAnsi="宋体" w:cs="宋体"/>
                <w:sz w:val="24"/>
                <w:szCs w:val="24"/>
                <w:highlight w:val="none"/>
              </w:rPr>
            </w:pPr>
          </w:p>
        </w:tc>
      </w:tr>
      <w:tr>
        <w:tblPrEx>
          <w:tblCellMar>
            <w:top w:w="0" w:type="dxa"/>
            <w:left w:w="108" w:type="dxa"/>
            <w:bottom w:w="0" w:type="dxa"/>
            <w:right w:w="108" w:type="dxa"/>
          </w:tblCellMar>
        </w:tblPrEx>
        <w:trPr>
          <w:trHeight w:val="1395"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地址：</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地址：</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开户银行：</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开户银行：</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lang w:eastAsia="en-US"/>
              </w:rPr>
            </w:pPr>
            <w:r>
              <w:rPr>
                <w:rFonts w:hint="eastAsia" w:ascii="宋体" w:hAnsi="宋体" w:cs="宋体"/>
                <w:sz w:val="24"/>
                <w:szCs w:val="24"/>
                <w:highlight w:val="none"/>
              </w:rPr>
              <w:t>银行账号：</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银行账号：</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邮政编码：</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邮政编码：</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电子邮箱：</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电子邮箱：</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合同联系人：</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合同联系人：</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联系方式：</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联系方式：</w:t>
            </w:r>
          </w:p>
        </w:tc>
      </w:tr>
      <w:tr>
        <w:tblPrEx>
          <w:tblCellMar>
            <w:top w:w="0" w:type="dxa"/>
            <w:left w:w="108" w:type="dxa"/>
            <w:bottom w:w="0" w:type="dxa"/>
            <w:right w:w="108" w:type="dxa"/>
          </w:tblCellMar>
        </w:tblPrEx>
        <w:trPr>
          <w:trHeight w:val="817" w:hRule="atLeast"/>
          <w:jc w:val="center"/>
        </w:trPr>
        <w:tc>
          <w:tcPr>
            <w:tcW w:w="8720" w:type="dxa"/>
            <w:gridSpan w:val="4"/>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合同签订时间：2025年  月  日</w:t>
            </w:r>
          </w:p>
        </w:tc>
      </w:tr>
    </w:tbl>
    <w:p>
      <w:pPr>
        <w:rPr>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highlight w:val="none"/>
        </w:rPr>
        <w:br w:type="page"/>
      </w:r>
    </w:p>
    <w:p>
      <w:pPr>
        <w:tabs>
          <w:tab w:val="left" w:pos="168"/>
        </w:tabs>
        <w:adjustRightInd w:val="0"/>
        <w:snapToGrid w:val="0"/>
        <w:spacing w:line="360" w:lineRule="auto"/>
        <w:ind w:firstLine="480" w:firstLineChars="200"/>
        <w:outlineLvl w:val="2"/>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1：投标报价一览表</w:t>
      </w:r>
    </w:p>
    <w:p>
      <w:pPr>
        <w:rPr>
          <w:rFonts w:ascii="宋体" w:hAnsi="宋体" w:cs="Times New Roman"/>
          <w:color w:val="000000"/>
          <w:sz w:val="24"/>
          <w:szCs w:val="24"/>
          <w:highlight w:val="none"/>
        </w:rPr>
        <w:sectPr>
          <w:pgSz w:w="11906" w:h="16838"/>
          <w:pgMar w:top="1440" w:right="1800" w:bottom="1440" w:left="1800" w:header="851" w:footer="992" w:gutter="0"/>
          <w:cols w:space="425" w:num="1"/>
          <w:docGrid w:type="lines" w:linePitch="312" w:charSpace="0"/>
        </w:sectPr>
      </w:pPr>
      <w:r>
        <w:rPr>
          <w:rFonts w:ascii="宋体" w:hAnsi="宋体" w:cs="Times New Roman"/>
          <w:color w:val="000000"/>
          <w:sz w:val="24"/>
          <w:szCs w:val="24"/>
          <w:highlight w:val="none"/>
        </w:rPr>
        <w:br w:type="page"/>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2：投标函</w:t>
      </w:r>
    </w:p>
    <w:p>
      <w:pPr>
        <w:rPr>
          <w:rFonts w:ascii="宋体" w:hAnsi="宋体" w:cs="Times New Roman"/>
          <w:color w:val="000000"/>
          <w:sz w:val="24"/>
          <w:szCs w:val="24"/>
          <w:highlight w:val="none"/>
        </w:rPr>
      </w:pPr>
      <w:r>
        <w:rPr>
          <w:rFonts w:ascii="宋体" w:hAnsi="宋体" w:cs="Times New Roman"/>
          <w:color w:val="000000"/>
          <w:sz w:val="24"/>
          <w:szCs w:val="24"/>
          <w:highlight w:val="none"/>
        </w:rPr>
        <w:br w:type="page"/>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ascii="宋体" w:hAnsi="宋体" w:cs="Times New Roman"/>
          <w:color w:val="000000"/>
          <w:sz w:val="24"/>
          <w:szCs w:val="24"/>
          <w:highlight w:val="none"/>
        </w:rPr>
        <w:t>附件3：投标人项目</w:t>
      </w:r>
      <w:r>
        <w:rPr>
          <w:rFonts w:hint="eastAsia" w:ascii="宋体" w:hAnsi="宋体" w:cs="Times New Roman"/>
          <w:color w:val="000000"/>
          <w:sz w:val="24"/>
          <w:szCs w:val="24"/>
          <w:highlight w:val="none"/>
        </w:rPr>
        <w:t>团队人员配置表</w:t>
      </w:r>
    </w:p>
    <w:p>
      <w:pPr>
        <w:pStyle w:val="17"/>
        <w:ind w:firstLine="0"/>
        <w:jc w:val="left"/>
        <w:rPr>
          <w:rFonts w:ascii="仿宋" w:hAnsi="仿宋"/>
          <w:highlight w:val="none"/>
        </w:rPr>
      </w:pPr>
    </w:p>
    <w:p>
      <w:pPr>
        <w:pStyle w:val="7"/>
        <w:rPr>
          <w:highlight w:val="none"/>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t xml:space="preserve"> 页 共 23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t xml:space="preserve"> 页 共 23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2I5N2FiMjQ5ODVlYTQ5ZmJkYWZhNDQ0ODA1OTMifQ=="/>
  </w:docVars>
  <w:rsids>
    <w:rsidRoot w:val="789004CC"/>
    <w:rsid w:val="00095886"/>
    <w:rsid w:val="000A7184"/>
    <w:rsid w:val="00121097"/>
    <w:rsid w:val="001521BF"/>
    <w:rsid w:val="00186201"/>
    <w:rsid w:val="00190416"/>
    <w:rsid w:val="001D2E45"/>
    <w:rsid w:val="001E3673"/>
    <w:rsid w:val="001F03E4"/>
    <w:rsid w:val="00291B84"/>
    <w:rsid w:val="00302BFC"/>
    <w:rsid w:val="00331B63"/>
    <w:rsid w:val="003468C5"/>
    <w:rsid w:val="00371C0A"/>
    <w:rsid w:val="00377BD4"/>
    <w:rsid w:val="003F2BE8"/>
    <w:rsid w:val="00463A1E"/>
    <w:rsid w:val="004654C2"/>
    <w:rsid w:val="0048381F"/>
    <w:rsid w:val="004C00D5"/>
    <w:rsid w:val="00507964"/>
    <w:rsid w:val="00507DBF"/>
    <w:rsid w:val="00516F9D"/>
    <w:rsid w:val="00557AA1"/>
    <w:rsid w:val="00572BD1"/>
    <w:rsid w:val="005B0DFB"/>
    <w:rsid w:val="005D3E36"/>
    <w:rsid w:val="006B351E"/>
    <w:rsid w:val="006B72C0"/>
    <w:rsid w:val="006D743A"/>
    <w:rsid w:val="006F72EC"/>
    <w:rsid w:val="008C15FC"/>
    <w:rsid w:val="008F21FA"/>
    <w:rsid w:val="009271E0"/>
    <w:rsid w:val="00931E24"/>
    <w:rsid w:val="00971ADC"/>
    <w:rsid w:val="0098513E"/>
    <w:rsid w:val="00986772"/>
    <w:rsid w:val="009963B4"/>
    <w:rsid w:val="00A346AC"/>
    <w:rsid w:val="00A56101"/>
    <w:rsid w:val="00A9326C"/>
    <w:rsid w:val="00AC14DF"/>
    <w:rsid w:val="00AE203A"/>
    <w:rsid w:val="00B11D88"/>
    <w:rsid w:val="00B166F3"/>
    <w:rsid w:val="00B6705A"/>
    <w:rsid w:val="00BA4CBA"/>
    <w:rsid w:val="00BF5C89"/>
    <w:rsid w:val="00C80F3E"/>
    <w:rsid w:val="00D666E2"/>
    <w:rsid w:val="00D9207E"/>
    <w:rsid w:val="00E17DBE"/>
    <w:rsid w:val="00F30D57"/>
    <w:rsid w:val="06695951"/>
    <w:rsid w:val="06B46E98"/>
    <w:rsid w:val="0AC617E3"/>
    <w:rsid w:val="0FB5662A"/>
    <w:rsid w:val="12052037"/>
    <w:rsid w:val="124A1B35"/>
    <w:rsid w:val="14124CE2"/>
    <w:rsid w:val="15E8DD2E"/>
    <w:rsid w:val="15E92C86"/>
    <w:rsid w:val="16C135CF"/>
    <w:rsid w:val="1BBE3350"/>
    <w:rsid w:val="1C0B4BD8"/>
    <w:rsid w:val="1D57729E"/>
    <w:rsid w:val="218C4107"/>
    <w:rsid w:val="21E91B75"/>
    <w:rsid w:val="2E8C565E"/>
    <w:rsid w:val="2EDE3DDD"/>
    <w:rsid w:val="2F3B20A4"/>
    <w:rsid w:val="2F913FEB"/>
    <w:rsid w:val="31221E76"/>
    <w:rsid w:val="321936B1"/>
    <w:rsid w:val="34E21BD8"/>
    <w:rsid w:val="367A0537"/>
    <w:rsid w:val="3B3F5259"/>
    <w:rsid w:val="3C5C5193"/>
    <w:rsid w:val="3C8E6F2D"/>
    <w:rsid w:val="3D7F5390"/>
    <w:rsid w:val="3EFF0ED3"/>
    <w:rsid w:val="3F4FE2E8"/>
    <w:rsid w:val="465D3862"/>
    <w:rsid w:val="46C20045"/>
    <w:rsid w:val="47C52AE2"/>
    <w:rsid w:val="4B7C675A"/>
    <w:rsid w:val="4FCA7DF8"/>
    <w:rsid w:val="4FDF25C7"/>
    <w:rsid w:val="52B7603F"/>
    <w:rsid w:val="55C57846"/>
    <w:rsid w:val="59EB11DB"/>
    <w:rsid w:val="5ABF4F31"/>
    <w:rsid w:val="5AFFEE88"/>
    <w:rsid w:val="5C9A145A"/>
    <w:rsid w:val="5ED41C1A"/>
    <w:rsid w:val="5F5E17B7"/>
    <w:rsid w:val="5F7D3F33"/>
    <w:rsid w:val="5F7E3648"/>
    <w:rsid w:val="5FFF35CD"/>
    <w:rsid w:val="60170E12"/>
    <w:rsid w:val="63FD2836"/>
    <w:rsid w:val="649821D1"/>
    <w:rsid w:val="6BBC6CE2"/>
    <w:rsid w:val="6D32383B"/>
    <w:rsid w:val="6D3F614A"/>
    <w:rsid w:val="6F8441BB"/>
    <w:rsid w:val="748FC662"/>
    <w:rsid w:val="74965C26"/>
    <w:rsid w:val="757D189A"/>
    <w:rsid w:val="767B785C"/>
    <w:rsid w:val="789004CC"/>
    <w:rsid w:val="79A80DCD"/>
    <w:rsid w:val="79AA5303"/>
    <w:rsid w:val="7CF721B9"/>
    <w:rsid w:val="7CFF96C1"/>
    <w:rsid w:val="7D5FC7FB"/>
    <w:rsid w:val="7DAF5A31"/>
    <w:rsid w:val="7DFFAC0B"/>
    <w:rsid w:val="7EDF015F"/>
    <w:rsid w:val="7F2B978B"/>
    <w:rsid w:val="7F853EE4"/>
    <w:rsid w:val="7FF1CA83"/>
    <w:rsid w:val="7FFDAB5B"/>
    <w:rsid w:val="9DEFF071"/>
    <w:rsid w:val="9FCEC3D4"/>
    <w:rsid w:val="A7CE3318"/>
    <w:rsid w:val="AADA366B"/>
    <w:rsid w:val="BAAFF1BC"/>
    <w:rsid w:val="BF1688DA"/>
    <w:rsid w:val="CDBB5F6B"/>
    <w:rsid w:val="CFE65654"/>
    <w:rsid w:val="D5798F8D"/>
    <w:rsid w:val="D8FFE030"/>
    <w:rsid w:val="DD3F5135"/>
    <w:rsid w:val="DFFF1719"/>
    <w:rsid w:val="E07F91DA"/>
    <w:rsid w:val="EA8C53D8"/>
    <w:rsid w:val="EC299577"/>
    <w:rsid w:val="F1EB3F48"/>
    <w:rsid w:val="F7FF13B0"/>
    <w:rsid w:val="FB7CA252"/>
    <w:rsid w:val="FD6CF63A"/>
    <w:rsid w:val="FF7D8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3">
    <w:name w:val="heading 1"/>
    <w:basedOn w:val="1"/>
    <w:next w:val="4"/>
    <w:link w:val="29"/>
    <w:qFormat/>
    <w:uiPriority w:val="0"/>
    <w:pPr>
      <w:keepNext/>
      <w:keepLines/>
      <w:spacing w:line="480" w:lineRule="auto"/>
      <w:outlineLvl w:val="0"/>
    </w:pPr>
    <w:rPr>
      <w:rFonts w:eastAsia="黑体"/>
      <w:kern w:val="44"/>
      <w:sz w:val="32"/>
    </w:rPr>
  </w:style>
  <w:style w:type="paragraph" w:styleId="5">
    <w:name w:val="heading 2"/>
    <w:basedOn w:val="1"/>
    <w:next w:val="1"/>
    <w:link w:val="25"/>
    <w:unhideWhenUsed/>
    <w:qFormat/>
    <w:uiPriority w:val="0"/>
    <w:pPr>
      <w:keepNext/>
      <w:keepLines/>
      <w:spacing w:line="480" w:lineRule="auto"/>
      <w:outlineLvl w:val="1"/>
    </w:pPr>
    <w:rPr>
      <w:rFonts w:ascii="Arial" w:hAnsi="Arial" w:eastAsia="楷体"/>
      <w:sz w:val="32"/>
    </w:rPr>
  </w:style>
  <w:style w:type="paragraph" w:styleId="6">
    <w:name w:val="heading 3"/>
    <w:basedOn w:val="1"/>
    <w:next w:val="1"/>
    <w:link w:val="26"/>
    <w:unhideWhenUsed/>
    <w:qFormat/>
    <w:uiPriority w:val="0"/>
    <w:pPr>
      <w:keepNext/>
      <w:keepLines/>
      <w:spacing w:line="360" w:lineRule="auto"/>
      <w:outlineLvl w:val="2"/>
    </w:p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First Indent"/>
    <w:basedOn w:val="2"/>
    <w:qFormat/>
    <w:uiPriority w:val="0"/>
    <w:pPr>
      <w:ind w:firstLine="420" w:firstLineChars="100"/>
    </w:pPr>
  </w:style>
  <w:style w:type="paragraph" w:styleId="7">
    <w:name w:val="Normal Indent"/>
    <w:basedOn w:val="1"/>
    <w:next w:val="1"/>
    <w:qFormat/>
    <w:uiPriority w:val="0"/>
    <w:pPr>
      <w:widowControl/>
      <w:ind w:firstLine="420"/>
      <w:jc w:val="left"/>
    </w:pPr>
    <w:rPr>
      <w:rFonts w:ascii="宋体" w:hAnsi="宋体" w:cs="宋体"/>
      <w:kern w:val="0"/>
      <w:sz w:val="24"/>
      <w:szCs w:val="20"/>
    </w:rPr>
  </w:style>
  <w:style w:type="paragraph" w:styleId="8">
    <w:name w:val="annotation text"/>
    <w:basedOn w:val="1"/>
    <w:link w:val="31"/>
    <w:qFormat/>
    <w:uiPriority w:val="0"/>
    <w:pPr>
      <w:jc w:val="left"/>
    </w:pPr>
  </w:style>
  <w:style w:type="paragraph" w:styleId="9">
    <w:name w:val="Body Text Indent"/>
    <w:basedOn w:val="1"/>
    <w:qFormat/>
    <w:uiPriority w:val="0"/>
    <w:pPr>
      <w:spacing w:line="360" w:lineRule="auto"/>
      <w:ind w:firstLine="630"/>
    </w:pPr>
    <w:rPr>
      <w:szCs w:val="20"/>
    </w:rPr>
  </w:style>
  <w:style w:type="paragraph" w:styleId="10">
    <w:name w:val="Balloon Text"/>
    <w:basedOn w:val="1"/>
    <w:link w:val="3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2"/>
    <w:uiPriority w:val="0"/>
    <w:rPr>
      <w:b/>
      <w:bCs/>
    </w:rPr>
  </w:style>
  <w:style w:type="paragraph" w:styleId="17">
    <w:name w:val="Body Text First Indent 2"/>
    <w:basedOn w:val="9"/>
    <w:next w:val="1"/>
    <w:qFormat/>
    <w:uiPriority w:val="99"/>
    <w:pPr>
      <w:ind w:firstLine="42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annotation reference"/>
    <w:basedOn w:val="20"/>
    <w:qFormat/>
    <w:uiPriority w:val="0"/>
    <w:rPr>
      <w:sz w:val="21"/>
      <w:szCs w:val="21"/>
    </w:rPr>
  </w:style>
  <w:style w:type="paragraph" w:customStyle="1" w:styleId="23">
    <w:name w:val="修订1"/>
    <w:hidden/>
    <w:unhideWhenUsed/>
    <w:qFormat/>
    <w:uiPriority w:val="99"/>
    <w:rPr>
      <w:rFonts w:ascii="Calibri" w:hAnsi="Calibri" w:eastAsia="宋体" w:cs="Calibri"/>
      <w:kern w:val="2"/>
      <w:sz w:val="21"/>
      <w:szCs w:val="22"/>
      <w:lang w:val="en-US" w:eastAsia="zh-CN" w:bidi="ar-SA"/>
    </w:rPr>
  </w:style>
  <w:style w:type="paragraph" w:customStyle="1" w:styleId="24">
    <w:name w:val="正文会展"/>
    <w:basedOn w:val="1"/>
    <w:qFormat/>
    <w:uiPriority w:val="0"/>
    <w:pPr>
      <w:spacing w:line="360" w:lineRule="auto"/>
      <w:ind w:firstLine="480"/>
    </w:pPr>
    <w:rPr>
      <w:rFonts w:ascii="Times New Roman" w:hAnsi="Times New Roman" w:cs="宋体"/>
      <w:sz w:val="28"/>
      <w:szCs w:val="20"/>
    </w:rPr>
  </w:style>
  <w:style w:type="character" w:customStyle="1" w:styleId="25">
    <w:name w:val="标题 2 字符"/>
    <w:link w:val="5"/>
    <w:qFormat/>
    <w:uiPriority w:val="0"/>
    <w:rPr>
      <w:rFonts w:ascii="Arial" w:hAnsi="Arial" w:eastAsia="楷体"/>
      <w:sz w:val="32"/>
    </w:rPr>
  </w:style>
  <w:style w:type="character" w:customStyle="1" w:styleId="26">
    <w:name w:val="标题 3 字符"/>
    <w:link w:val="6"/>
    <w:qFormat/>
    <w:uiPriority w:val="0"/>
  </w:style>
  <w:style w:type="paragraph" w:styleId="27">
    <w:name w:val="List Paragraph"/>
    <w:basedOn w:val="1"/>
    <w:qFormat/>
    <w:uiPriority w:val="0"/>
    <w:pPr>
      <w:ind w:firstLine="420"/>
    </w:pPr>
  </w:style>
  <w:style w:type="paragraph" w:customStyle="1" w:styleId="28">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29">
    <w:name w:val="标题 1 字符"/>
    <w:link w:val="3"/>
    <w:qFormat/>
    <w:uiPriority w:val="0"/>
    <w:rPr>
      <w:rFonts w:eastAsia="黑体"/>
      <w:kern w:val="44"/>
      <w:sz w:val="32"/>
    </w:rPr>
  </w:style>
  <w:style w:type="character" w:customStyle="1" w:styleId="30">
    <w:name w:val="批注框文本 字符"/>
    <w:basedOn w:val="20"/>
    <w:link w:val="10"/>
    <w:qFormat/>
    <w:uiPriority w:val="0"/>
    <w:rPr>
      <w:rFonts w:ascii="Calibri" w:hAnsi="Calibri" w:cs="Calibri"/>
      <w:kern w:val="2"/>
      <w:sz w:val="18"/>
      <w:szCs w:val="18"/>
    </w:rPr>
  </w:style>
  <w:style w:type="character" w:customStyle="1" w:styleId="31">
    <w:name w:val="批注文字 字符"/>
    <w:basedOn w:val="20"/>
    <w:link w:val="8"/>
    <w:qFormat/>
    <w:uiPriority w:val="0"/>
    <w:rPr>
      <w:rFonts w:ascii="Calibri" w:hAnsi="Calibri" w:cs="Calibri"/>
      <w:kern w:val="2"/>
      <w:sz w:val="21"/>
      <w:szCs w:val="22"/>
    </w:rPr>
  </w:style>
  <w:style w:type="character" w:customStyle="1" w:styleId="32">
    <w:name w:val="批注主题 字符"/>
    <w:basedOn w:val="31"/>
    <w:link w:val="16"/>
    <w:qFormat/>
    <w:uiPriority w:val="0"/>
    <w:rPr>
      <w:rFonts w:ascii="Calibri" w:hAnsi="Calibri" w:cs="Calibri"/>
      <w:b/>
      <w:bCs/>
      <w:kern w:val="2"/>
      <w:sz w:val="21"/>
      <w:szCs w:val="22"/>
    </w:rPr>
  </w:style>
  <w:style w:type="paragraph" w:customStyle="1" w:styleId="33">
    <w:name w:val="Revision"/>
    <w:hidden/>
    <w:unhideWhenUsed/>
    <w:qFormat/>
    <w:uiPriority w:val="99"/>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1226</Words>
  <Characters>6990</Characters>
  <Lines>58</Lines>
  <Paragraphs>16</Paragraphs>
  <TotalTime>8</TotalTime>
  <ScaleCrop>false</ScaleCrop>
  <LinksUpToDate>false</LinksUpToDate>
  <CharactersWithSpaces>8200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2025-04-29T02:40:00Z</dcterms:created>
  <dc:creator>YQ</dc:creator>
  <cp:lastModifiedBy>YQ</cp:lastModifiedBy>
  <cp:lastPrinted>2025-04-29T02:40:00Z</cp:lastPrinted>
  <dcterms:modified xsi:type="dcterms:W3CDTF">2025-04-29T13:07:15Z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0C0980B727FC4DBCBB676BECF48C08B1</vt:lpwstr>
  </property>
</Properties>
</file>